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Reliatox Laboratories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Nevada Personal Injury Management (NPIM)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P.O. Box 778090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Henderson, NV 89077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liens@medirevenue.com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619-923-3196 Fax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619-923-3196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tzht29jp4mpb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s582iyqjaxl8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  <w:rPr>
      <w:specVanish w:val="0"/>
    </w:rPr>
  </w:style>
  <w:style w:type="table" w:styleId="TableNormal" w:default="1">
    <w:name w:val="Normal Table"/>
    <w:uiPriority w:val="99"/>
    <w:semiHidden w:val="1"/>
    <w:unhideWhenUsed w:val="1"/>
    <w:pPr/>
    <w:rPr>
      <w:specVanish w:val="0"/>
    </w:rPr>
    <w:tblPr>
      <w:tblStyleRowBandSize w:val="1"/>
      <w:tblStyleColBandSize w:val="1"/>
      <w:tblInd w:w="0.0" w:type="dxa"/>
      <w:tblBorders>
        <w:top w:space="0" w:sz="0" w:val="nil"/>
        <w:left w:space="0" w:sz="0" w:val="nil"/>
        <w:bottom w:space="0" w:sz="0" w:val="nil"/>
        <w:right w:space="0" w:sz="0" w:val="nil"/>
        <w:insideH w:space="0" w:sz="0" w:val="nil"/>
        <w:insideV w:space="0" w:sz="0" w:val="nil"/>
      </w:tblBorders>
      <w:tblCellMar>
        <w:top w:w="0.0" w:type="dxa"/>
        <w:left w:w="108.0" w:type="dxa"/>
        <w:bottom w:w="0.0" w:type="dxa"/>
        <w:right w:w="108.0" w:type="dxa"/>
      </w:tblCellMar>
    </w:tblPr>
    <w:trPr/>
    <w:tcPr/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  <w:specVanish w:val="0"/>
    </w:rPr>
  </w:style>
  <w:style w:type="character" w:styleId="HeaderChar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  <w:specVanish w:val="0"/>
    </w:rPr>
  </w:style>
  <w:style w:type="character" w:styleId="FooterChar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0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/>
    <w:tcPr/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specVanish w:val="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  <w:specVanish w:val="0"/>
    </w:rPr>
  </w:style>
  <w:style w:type="character" w:styleId="BalloonTextChar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  <w:specVanish w:val="0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  <w:specVanish w:val="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rPr/>
    <w:tcPr>
      <w:shd w:color="auto" w:fill="cccccc" w:val="clear"/>
    </w:tcPr>
    <w:tblStylePr w:type="band1Horz">
      <w:pPr/>
      <w:rPr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808080" w:val="clear"/>
      </w:tcPr>
    </w:tblStylePr>
    <w:tblStylePr w:type="band1Vert">
      <w:pPr/>
      <w:rPr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808080" w:val="clear"/>
      </w:tcPr>
    </w:tblStylePr>
    <w:tblStylePr w:type="firstCol">
      <w:pPr/>
      <w:rPr>
        <w:color w:val="ffffff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000000" w:val="clear"/>
      </w:tcPr>
    </w:tblStylePr>
    <w:tblStylePr w:type="lastCol">
      <w:pPr/>
      <w:rPr>
        <w:color w:val="ffffff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000000" w:val="clear"/>
      </w:tcPr>
    </w:tblStylePr>
    <w:tblStylePr w:type="firstRow">
      <w:pPr/>
      <w:rPr>
        <w:b w:val="1"/>
        <w:bCs w:val="1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999999" w:val="clear"/>
      </w:tcPr>
    </w:tblStylePr>
    <w:tblStylePr w:type="lastRow">
      <w:pPr/>
      <w:rPr>
        <w:b w:val="1"/>
        <w:bCs w:val="1"/>
        <w:color w:val="000000"/>
        <w:specVanish w:val="0"/>
      </w:rPr>
      <w:tblPr>
        <w:tbl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blBorders>
      </w:tblPr>
      <w:trPr/>
      <w:tcPr>
        <w:shd w:color="auto" w:fill="999999" w:val="clear"/>
      </w:tcPr>
    </w:tblStylePr>
  </w:style>
  <w:style w:type="character" w:styleId="UnresolvedMention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0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>
    <w:name w:val="empty"/>
    <w:basedOn w:val="DefaultParagraphFont"/>
    <w:rPr>
      <w:specVanish w:val="0"/>
    </w:rPr>
  </w:style>
  <w:style w:type="character" w:styleId="section">
    <w:name w:val="section"/>
    <w:basedOn w:val="DefaultParagraphFont"/>
    <w:rPr>
      <w:specVanish w:val="0"/>
    </w:rPr>
  </w:style>
  <w:style w:type="character" w:styleId="leadline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specVanish w:val="0"/>
    </w:rPr>
  </w:style>
  <w:style w:type="character" w:styleId="Placeholder 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aH6H0qVw2f9U8nPFgRDe+spGIA==">CgMxLjAyDmguczU4Mml5cWpheGw4Mg5oLnR6aHQyOWpwNG1wYjgAciExQWZWbDkxTTFneV94Tm5zd1M0c2hCQnpWMGh6UEdETmg=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