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8">
      <w:pPr>
        <w:spacing w:after="0" w:before="0" w:line="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09">
      <w:pPr>
        <w:pStyle w:val="Title"/>
        <w:spacing w:line="240" w:lineRule="auto"/>
        <w:rPr>
          <w:rFonts w:ascii="Helvetica Neue Light" w:cs="Helvetica Neue Light" w:eastAsia="Helvetica Neue Light" w:hAnsi="Helvetica Neue Light"/>
          <w:b w:val="0"/>
          <w:bCs w:val="0"/>
          <w:color w:val="5b7085"/>
          <w:sz w:val="72"/>
          <w:szCs w:val="72"/>
        </w:rPr>
      </w:pPr>
      <w:r>
        <w:rPr>
          <w:rFonts w:ascii="Helvetica Neue Light" w:cs="Helvetica Neue Light" w:eastAsia="Helvetica Neue Light" w:hAnsi="Helvetica Neue Light"/>
          <w:b w:val="0"/>
          <w:bCs w:val="0"/>
          <w:color w:val="5b7085"/>
          <w:sz w:val="72"/>
          <w:szCs w:val="72"/>
          <w:rtl w:val="0"/>
        </w:rPr>
        <w:t xml:space="preserve">Yeoro</w:t>
      </w:r>
    </w:p>
    <w:p w14:paraId="0000000A">
      <w:pPr>
        <w:pStyle w:val="Title"/>
        <w:spacing w:line="240" w:lineRule="auto"/>
        <w:rPr>
          <w:rFonts w:ascii="Helvetica Neue" w:cs="Helvetica Neue" w:eastAsia="Helvetica Neue" w:hAnsi="Helvetica Neue"/>
          <w:sz w:val="72"/>
          <w:szCs w:val="72"/>
        </w:rPr>
      </w:pPr>
      <w:r>
        <w:rPr>
          <w:rFonts w:ascii="Helvetica Neue" w:cs="Helvetica Neue" w:eastAsia="Helvetica Neue" w:hAnsi="Helvetica Neue"/>
          <w:sz w:val="72"/>
          <w:szCs w:val="72"/>
          <w:rtl w:val="0"/>
        </w:rPr>
        <w:t xml:space="preserve">메뉴 선택 계약 설계</w:t>
      </w:r>
    </w:p>
    <w:p w14:paraId="0000000B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C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D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E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F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0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1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2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3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4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1"/>
        <w:tblW w:w="10400.0" w:type="dxa"/>
        <w:jc w:val="center"/>
        <w:tblLayout w:type="fixed"/>
        <w:tblLook w:val="0600"/>
      </w:tblPr>
      <w:tblGrid>
        <w:gridCol w:w="3200"/>
        <w:gridCol w:w="400"/>
        <w:gridCol w:w="3200"/>
        <w:gridCol w:w="400"/>
        <w:gridCol w:w="3200"/>
        <w:tblGridChange w:id="0">
          <w:tblGrid>
            <w:gridCol w:w="3200"/>
            <w:gridCol w:w="400"/>
            <w:gridCol w:w="3200"/>
            <w:gridCol w:w="400"/>
            <w:gridCol w:w="3200"/>
          </w:tblGrid>
        </w:tblGridChange>
      </w:tblGrid>
      <w:tr>
        <w:trPr>
          <w:cantSplit w:val="0"/>
          <w:tblHeader w:val="0"/>
        </w:trPr>
        <w:tc>
          <w:tcPr/>
          <w:p w14:paraId="00000015">
            <w:pPr>
              <w:pStyle w:val="Heading3"/>
              <w:rPr/>
            </w:pPr>
            <w:bookmarkStart w:colFirst="0" w:colLast="0" w:name="_heading=h.7ykrt4nkacae" w:id="0"/>
            <w:bookmarkEnd w:id="0"/>
            <w:r>
              <w:rPr>
                <w:rtl w:val="0"/>
              </w:rPr>
              <w:t xml:space="preserve">STATUS</w:t>
            </w:r>
          </w:p>
          <w:p w14:paraId="00000016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설계 제안</w:t>
            </w:r>
            <w:r>
              <w:rPr>
                <w:rtl w:val="0"/>
              </w:rPr>
            </w:r>
          </w:p>
        </w:tc>
        <w:tc>
          <w:tcPr/>
          <w:p w14:paraId="00000017">
            <w:pPr>
              <w:rPr>
                <w:rFonts w:ascii="Helvetica Neue" w:cs="Helvetica Neue" w:eastAsia="Helvetica Neue" w:hAnsi="Helvetica Neue"/>
              </w:rPr>
            </w:pPr>
            <w:r>
              <w:rPr>
                <w:rtl w:val="0"/>
              </w:rPr>
            </w:r>
          </w:p>
        </w:tc>
        <w:tc>
          <w:tcPr/>
          <w:p w14:paraId="00000018">
            <w:pPr>
              <w:pStyle w:val="Heading3"/>
              <w:rPr/>
            </w:pPr>
            <w:bookmarkStart w:colFirst="0" w:colLast="0" w:name="_heading=h.yfftl1hqu8kl" w:id="1"/>
            <w:bookmarkEnd w:id="1"/>
            <w:r>
              <w:rPr>
                <w:rtl w:val="0"/>
              </w:rPr>
              <w:t xml:space="preserve">OWNER</w:t>
            </w:r>
            <w:r>
              <w:rPr>
                <w:rtl w:val="0"/>
              </w:rPr>
            </w:r>
          </w:p>
          <w:p w14:paraId="00000019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미지정</w:t>
            </w:r>
            <w:r>
              <w:rPr>
                <w:rFonts w:ascii="Helvetica Neue" w:cs="Helvetica Neue" w:eastAsia="Helvetica Neue" w:hAnsi="Helvetica Neue"/>
                <w:rtl w:val="0"/>
              </w:rPr>
              <w:t xml:space="preserve"/>
            </w: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/>
            </w:r>
            <w:r>
              <w:rPr>
                <w:rtl w:val="0"/>
              </w:rPr>
            </w:r>
          </w:p>
        </w:tc>
        <w:tc>
          <w:tcPr/>
          <w:p w14:paraId="0000001A">
            <w:pPr>
              <w:rPr>
                <w:rFonts w:ascii="Helvetica Neue" w:cs="Helvetica Neue" w:eastAsia="Helvetica Neue" w:hAnsi="Helvetica Neue"/>
              </w:rPr>
            </w:pPr>
            <w:r>
              <w:rPr>
                <w:rtl w:val="0"/>
              </w:rPr>
            </w:r>
          </w:p>
        </w:tc>
        <w:tc>
          <w:tcPr/>
          <w:p w14:paraId="0000001B">
            <w:pPr>
              <w:pStyle w:val="Heading3"/>
              <w:rPr/>
            </w:pPr>
            <w:bookmarkStart w:colFirst="0" w:colLast="0" w:name="_heading=h.jp27tbh10tsa" w:id="2"/>
            <w:bookmarkEnd w:id="2"/>
            <w:r>
              <w:rPr>
                <w:rtl w:val="0"/>
              </w:rPr>
              <w:t xml:space="preserve">LAST UPDATED</w:t>
            </w:r>
            <w:r>
              <w:rPr>
                <w:rtl w:val="0"/>
              </w:rPr>
            </w:r>
          </w:p>
          <w:p w14:paraId="0000001C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rtl w:val="0"/>
              </w:rPr>
              <w:t xml:space="preserve">2026년 10월 10일</w:t>
            </w:r>
          </w:p>
        </w:tc>
      </w:tr>
    </w:tbl>
    <w:p w14:paraId="0000001D">
      <w:pPr>
        <w:spacing w:after="110" w:line="300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2"/>
        <w:tblW w:w="10155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1815"/>
        <w:gridCol w:w="8340"/>
        <w:tblGridChange w:id="0">
          <w:tblGrid>
            <w:gridCol w:w="1815"/>
            <w:gridCol w:w="8340"/>
          </w:tblGrid>
        </w:tblGridChange>
      </w:tblGrid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1E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작성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1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설계 문서 정리</w:t>
            </w:r>
            <w:r>
              <w:rPr>
                <w:rFonts w:ascii="Helvetica Neue" w:cs="Helvetica Neue" w:eastAsia="Helvetica Neue" w:hAnsi="Helvetica Neue"/>
                <w:rtl w:val="0"/>
              </w:rPr>
              <w:t xml:space="preserve"/>
            </w: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/>
            </w:r>
            <w:r>
              <w:rPr>
                <w:rtl w:val="0"/>
              </w:rPr>
            </w:r>
          </w:p>
        </w:tc>
      </w:tr>
      <w:tr>
        <w:trPr>
          <w:cantSplit w:val="1"/>
          <w:trHeight w:val="404.3103027343749" w:hRule="atLeast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0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검토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구현 후 review-loop 예정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2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관련 문서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Issue #177 선택 계약 설계 및 조사</w:t>
            </w:r>
            <w:r>
              <w:rPr>
                <w:rFonts w:ascii="Helvetica Neue" w:cs="Helvetica Neue" w:eastAsia="Helvetica Neue" w:hAnsi="Helvetica Neue"/>
                <w:rtl w:val="0"/>
              </w:rPr>
              <w:t xml:space="preserve"/>
            </w: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/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4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범위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1단계 생성·재선택·Java 식사 보충의 메뉴 출처 계약</w:t>
            </w:r>
            <w:r>
              <w:rPr>
                <w:rtl w:val="0"/>
              </w:rPr>
            </w:r>
          </w:p>
        </w:tc>
      </w:tr>
    </w:tbl>
    <w:p w14:paraId="00000026"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Helvetica Neue" w:hAnsi="Helvetica Neue"/>
          <w:color w:val="082a4a"/>
          <w:rtl w:val="0"/>
        </w:rPr>
        <w:t xml:space="preserve">1 설계 요약</w:t>
      </w:r>
      <w:r>
        <w:rPr>
          <w:rtl w:val="0"/>
        </w:rPr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Issue #177의 1단계는 candidateId와 menuName의 관계를 검증한다. 요청별 음식점 상세를 Java에 보관하고, 최초 생성·재선택·식사 보충이 같은 메뉴 원본을 사용하도록 정렬하는 설계다.</w:t>
      </w:r>
      <w:r>
        <w:rPr>
          <w:rtl w:val="0"/>
        </w:rPr>
      </w:r>
    </w:p>
    <w:p w14:paraId="00000028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기준은 dev 127e1a2의 P2-4A다. 독립 실험 B/C는 합치지 않는다. 구현과 실제 모델 품질의 검증은 후속 작업이며, 이 문서는 개선 효과를 입증하지 않는다.</w:t>
      </w:r>
      <w:r>
        <w:rPr>
          <w:rtl w:val="0"/>
        </w:rPr>
      </w:r>
    </w:p>
    <w:p w14:paraId="00000029">
      <w:pPr>
        <w:spacing w:after="0" w:line="120" w:lineRule="auto"/>
        <w:jc w:val="both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2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2 목표와 제외 범위</w:t>
      </w:r>
    </w:p>
    <w:tbl>
      <w:tblPr>
        <w:tblStyle w:val="Table3"/>
        <w:tblW w:w="10224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B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목표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C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제외 범위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같은 음식점 상세의 실제 메뉴만 승인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동적 enum·새 메뉴 ID·DTO 교체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생성·재선택·Java 보충의 계약 일치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Tool 축소·프레임워크 업그레이드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편집·저장·기존 식사 시각 정책 보존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영업시간 해석·날짜별 fan-out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기존 교정 예산 안에서 거부와 복구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경로 복구·main 동기화</w:t>
            </w:r>
            <w:r>
              <w:rPr>
                <w:rtl w:val="0"/>
              </w:rPr>
            </w:r>
          </w:p>
        </w:tc>
      </w:tr>
    </w:tbl>
    <w:p w14:paraId="00000035">
      <w:pPr>
        <w:pStyle w:val="Heading1"/>
        <w:spacing w:before="0" w:line="216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36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3 배경과 문제</w:t>
      </w:r>
    </w:p>
    <w:p w14:paraId="0000003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A는 후보 ID로 장소를 복원하지만 선택 메뉴가 그 음식점의 조회 메뉴인지 확인하지 않는다. B의 부산 실패 메시지는 후보 존재·메뉴 포함·식사 자격을 함께 표시하여 실제 원인을 확정할 수 없다.</w:t>
      </w:r>
      <w:r>
        <w:rPr>
          <w:rtl w:val="0"/>
        </w:rPr>
      </w:r>
    </w:p>
    <w:p w14:paraId="00000038">
      <w:pPr>
        <w:spacing w:after="110" w:line="300" w:lineRule="auto"/>
        <w:jc w:val="both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모델은 기존 DTO로 후보와 메뉴를 선택한다. Java는 상세의 출처와 메뉴 포함 여부를 확인한다. standardFoodName은 영양 조회용이며 음식점 메뉴의 존재 근거가 아니다.</w:t>
      </w:r>
      <w:r>
        <w:rPr>
          <w:rFonts w:ascii="Helvetica Neue" w:cs="Helvetica Neue" w:eastAsia="Helvetica Neue" w:hAnsi="Helvetica Neue"/>
          <w:sz w:val="13"/>
          <w:szCs w:val="13"/>
          <w:vertAlign w:val="superscript"/>
        </w:rPr>
        <w:footnoteReference w:customMarkFollows="0" w:id="0"/>
      </w:r>
      <w:r>
        <w:br w:type="page"/>
      </w:r>
      <w:r>
        <w:rPr>
          <w:rtl w:val="0"/>
        </w:rPr>
      </w:r>
    </w:p>
    <w:p w14:paraId="00000039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4 제안 구조</w:t>
      </w:r>
    </w:p>
    <w:p w14:paraId="0000003A">
      <w:pPr>
        <w:spacing w:after="0" w:line="144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3B">
      <w:pPr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</w:rPr>
        <w:drawing>
          <wp:inline distB="0" distT="0" distL="0" distR="0">
            <wp:extent cx="6126480" cy="313982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398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color w:val="082a4a"/>
        </w:rPr>
      </w:pPr>
      <w:r>
        <w:rPr>
          <w:rFonts w:ascii="Helvetica Neue" w:cs="Helvetica Neue" w:eastAsia="Helvetica Neue" w:hAnsi="Helvetica Neue"/>
          <w:color w:val="082a4a"/>
          <w:rtl w:val="0"/>
        </w:rPr>
        <w:t xml:space="preserve">그림 1 요청 안에서 상세 원본과 선택 결과를 결합하는 검증 경계</w:t>
      </w:r>
    </w:p>
    <w:p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color w:val="082a4a"/>
        </w:rPr>
      </w:pPr>
      <w:r>
        <w:rPr>
          <w:rtl w:val="0"/>
        </w:rPr>
      </w:r>
    </w:p>
    <w:p w14:paraId="0000003E">
      <w:pPr>
        <w:pStyle w:val="Heading3"/>
        <w:spacing w:after="90" w:line="280" w:lineRule="auto"/>
        <w:rPr/>
      </w:pPr>
      <w:bookmarkStart w:colFirst="0" w:colLast="0" w:name="_heading=h.z8y8vnqzkka4" w:id="3"/>
      <w:bookmarkEnd w:id="3"/>
      <w:r>
        <w:rPr>
          <w:rtl w:val="0"/>
        </w:rPr>
        <w:t xml:space="preserve">주요 구성 요소</w:t>
      </w:r>
    </w:p>
    <w:p w14:paraId="0000003F">
      <w:pPr>
        <w:spacing w:after="0" w:before="20" w:line="240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tbl>
      <w:tblPr>
        <w:tblStyle w:val="Table4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268"/>
        <w:gridCol w:w="3164"/>
        <w:gridCol w:w="2374"/>
        <w:gridCol w:w="2634"/>
        <w:tblGridChange w:id="0">
          <w:tblGrid>
            <w:gridCol w:w="2268"/>
            <w:gridCol w:w="3164"/>
            <w:gridCol w:w="2374"/>
            <w:gridCol w:w="263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0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구성 요소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1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책임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2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근거 저장소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3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실패 처리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후보 컨텍스트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후보와 상세 메뉴 보관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요청 메모리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초기화 시 함께 폐기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음식점 상세 Tool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조회와 성공 원본 기록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TourAPI 상세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실패·타 ID 기록 금지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공통 메뉴 검사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출처와 포함 여부 확인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동일 요청 원본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종류별 검증 사유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최종 장소 검증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재선택 등 계약 확인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기존 슬롯·정책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기존 복구 흐름</w:t>
            </w:r>
            <w:r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4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Java 식사 보충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5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첫 미사용 메뉴 선택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6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동일 상세 파싱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7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추정 메뉴 생성 금지</w:t>
            </w:r>
            <w:r>
              <w:rPr>
                <w:rtl w:val="0"/>
              </w:rPr>
            </w:r>
          </w:p>
        </w:tc>
      </w:tr>
    </w:tbl>
    <w:p w14:paraId="00000058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59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5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5 요청 수명</w:t>
      </w:r>
    </w:p>
    <w:p w14:paraId="0000005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새 요청 또는 후보 초기화 시 후보·상세·대표 메뉴 캐시를 함께 비운다.</w:t>
      </w:r>
      <w:r>
        <w:rPr>
          <w:rtl w:val="0"/>
        </w:rPr>
      </w:r>
    </w:p>
    <w:p w14:paraId="0000005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요청에서 검색한 tour 후보 유형 39의 음식점 상세를 조회한다.</w:t>
      </w:r>
      <w:r>
        <w:rPr>
          <w:rtl w:val="0"/>
        </w:rPr>
      </w:r>
    </w:p>
    <w:p w14:paraId="0000005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성공 코드 0000 또는 00, 일치하는 contentid와 contenttypeid, 비어 있지 않은 상세 item만 근거로 기록한다.</w:t>
      </w:r>
      <w:r>
        <w:rPr>
          <w:rtl w:val="0"/>
        </w:rPr>
      </w:r>
    </w:p>
    <w:p w14:paraId="0000005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firstmenu를 먼저 파싱하고 treatmenu를 추가한다. 모델과 Java 보충이 같은 실제 메뉴 목록을 사용한다.</w:t>
      </w:r>
      <w:r>
        <w:rPr>
          <w:rtl w:val="0"/>
        </w:rPr>
      </w:r>
    </w:p>
    <w:p w14:paraId="0000005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생성은 기존 validation callback, 재선택·보충·편집·재구성은 최종 PlanPlaceResolver.validate에서 공통 계약을 검사한다.</w:t>
      </w:r>
      <w:r>
        <w:rPr>
          <w:rtl w:val="0"/>
        </w:rPr>
      </w:r>
    </w:p>
    <w:p w14:paraId="0000006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생성 correction과 PlanService 슬롯 재선택 루프를 재사용한다. 횟수·예산을 늘리거나 재선택 전체 correction을 추가하지 않는다.</w:t>
      </w:r>
      <w:r>
        <w:rPr>
          <w:rtl w:val="0"/>
        </w:rPr>
      </w:r>
    </w:p>
    <w:p w14:paraId="0000006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정상 슬롯·최종 검증·원자적 저장을 보존한다. 메뉴 원문 복원은 선택 의미를 바꾸지 않는다.</w:t>
      </w:r>
      <w:r>
        <w:rPr>
          <w:rtl w:val="0"/>
        </w:rPr>
      </w:r>
    </w:p>
    <w:p w14:paraId="00000062">
      <w:pPr>
        <w:pStyle w:val="Heading1"/>
        <w:spacing w:before="0" w:line="168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6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6 API와 데이터 계약</w:t>
      </w:r>
    </w:p>
    <w:p w14:paraId="00000064">
      <w:pPr>
        <w:pStyle w:val="Heading3"/>
        <w:spacing w:after="90" w:line="280" w:lineRule="auto"/>
        <w:rPr/>
      </w:pPr>
      <w:bookmarkStart w:colFirst="0" w:colLast="0" w:name="_heading=h.tw1sfexklg0y" w:id="4"/>
      <w:bookmarkEnd w:id="4"/>
      <w:r>
        <w:rPr>
          <w:rtl w:val="0"/>
        </w:rPr>
        <w:t xml:space="preserve">기존 DTO와 요청 내부 근거</w:t>
      </w:r>
    </w:p>
    <w:p w14:paraId="00000065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tbl>
      <w:tblPr>
        <w:tblStyle w:val="Table5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344"/>
        <w:gridCol w:w="1921"/>
        <w:gridCol w:w="1873"/>
        <w:gridCol w:w="4302"/>
        <w:tblGridChange w:id="0">
          <w:tblGrid>
            <w:gridCol w:w="2344"/>
            <w:gridCol w:w="1921"/>
            <w:gridCol w:w="1873"/>
            <w:gridCol w:w="430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6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필드 또는 근거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7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형식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8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필수 조건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9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계약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candidateId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기존 String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장소 선택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요청 후보와 유형 일치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menuName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기존 String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식사 선택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같은 후보 실제 메뉴 포함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contentid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상세 ID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Tour39 상세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검색 원본 ID 일치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contenttypeid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상세 유형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Tour39 상세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음식점 유형 39 일치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resultCode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헤더 코드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상세 기록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0000 또는 00만 승인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firstmenu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원문 메뉴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우선 목록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빈 값이면 treatmenu 사용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treatmenu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원문 목록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보조 목록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실제 추가 메뉴만 허용</w:t>
            </w:r>
            <w:r>
              <w:rPr>
                <w:rtl w:val="0"/>
              </w:rPr>
            </w:r>
          </w:p>
        </w:tc>
      </w:tr>
    </w:tbl>
    <w:p w14:paraId="00000086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p w14:paraId="00000087">
      <w:pPr>
        <w:pStyle w:val="Heading3"/>
        <w:spacing w:after="90" w:line="280" w:lineRule="auto"/>
        <w:rPr/>
      </w:pPr>
      <w:bookmarkStart w:colFirst="0" w:colLast="0" w:name="_heading=h.379jmrhyew9b" w:id="5"/>
      <w:bookmarkEnd w:id="5"/>
      <w:r>
        <w:rPr>
          <w:rtl w:val="0"/>
        </w:rPr>
        <w:t xml:space="preserve">검증 불변 조건</w:t>
      </w:r>
    </w:p>
    <w:p w14:paraId="00000088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p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목록 구분자는 쉼표·슬래시·세미콜론·줄바꿈·HTML br만 허용한다. 앞뒤 공백만 제거한다.</w:t>
      </w:r>
      <w:r>
        <w:rPr>
          <w:rtl w:val="0"/>
        </w:rPr>
      </w:r>
    </w:p>
    <w:p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부분 문자열·유사도·임의 별칭을 승인하지 않는다. 선택은 파싱된 실제 메뉴와 일치해야 한다.</w:t>
      </w:r>
      <w:r>
        <w:rPr>
          <w:rtl w:val="0"/>
        </w:rPr>
      </w:r>
    </w:p>
    <w:p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출처 검사는 tour 후보 유형 39에 적용한다. 카카오 FD6는 기존 호환성을 유지한다.</w:t>
      </w:r>
      <w:r>
        <w:rPr>
          <w:rtl w:val="0"/>
        </w:rPr>
      </w:r>
    </w:p>
    <w:p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verifyExisting의 저장된 슬롯에는 신규 상세 조회를 요구하지 않는다.</w:t>
      </w:r>
      <w:r>
        <w:rPr>
          <w:rtl w:val="0"/>
        </w:rPr>
      </w:r>
    </w:p>
    <w:p w14:paraId="0000008D">
      <w:pPr>
        <w:spacing w:after="110" w:line="300" w:lineRule="auto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Tool 이름·인자·반환 타입과 DTO는 유지한다. 기준 문서</w:t>
      </w:r>
      <w:r>
        <w:rPr>
          <w:rtl w:val="0"/>
        </w:rPr>
      </w:r>
    </w:p>
    <w:p w14:paraId="0000008E">
      <w:pPr>
        <w:spacing w:after="110" w:line="300" w:lineRule="auto"/>
        <w:rPr>
          <w:rFonts w:ascii="Helvetica Neue" w:cs="Helvetica Neue" w:eastAsia="Helvetica Neue" w:hAnsi="Helvetica Neue"/>
        </w:rPr>
      </w:pPr>
      <w:hyperlink r:id="rId9">
        <w:r>
          <w:rPr>
            <w:rFonts w:ascii="Helvetica Neue" w:cs="Helvetica Neue" w:eastAsia="Helvetica Neue" w:hAnsi="Helvetica Neue"/>
            <w:color w:val="2f6b9a"/>
            <w:u w:val="single"/>
            <w:rtl w:val="0"/>
          </w:rPr>
          <w:t xml:space="preserve">p2-selection-contract-design.md 및 p2-selection-contract-research.md</w:t>
        </w:r>
      </w:hyperlink>
      <w:r>
        <w:rPr>
          <w:rFonts w:ascii="Helvetica Neue" w:cs="Helvetica Neue" w:eastAsia="Helvetica Neue" w:hAnsi="Helvetica Neue"/>
          <w:color w:val="233447"/>
          <w:rtl w:val="0"/>
        </w:rPr>
        <w:t xml:space="preserve"/>
      </w:r>
      <w:r>
        <w:rPr>
          <w:rtl w:val="0"/>
        </w:rPr>
      </w:r>
    </w:p>
    <w:p w14:paraId="0000008F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90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7 일관성과 거부 시나리오</w:t>
      </w:r>
    </w:p>
    <w:p w14:paraId="00000091">
      <w:pPr>
        <w:spacing w:after="0" w:line="96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92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상세 근거는 한 요청과 기존 제한 교정 시도의 수명에만 존재한다. 같은 후보의 성공한 원본은 다른 ID나 실패 응답으로 덮어쓰지 않는다. 전역 메뉴 캐시와 새 영속 스키마를 추가하지 않는다.</w:t>
      </w:r>
      <w:r>
        <w:rPr>
          <w:rtl w:val="0"/>
        </w:rPr>
      </w:r>
    </w:p>
    <w:tbl>
      <w:tblPr>
        <w:tblStyle w:val="Table6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37"/>
        <w:gridCol w:w="3722"/>
        <w:gridCol w:w="3381"/>
        <w:tblGridChange w:id="0">
          <w:tblGrid>
            <w:gridCol w:w="3337"/>
            <w:gridCol w:w="3722"/>
            <w:gridCol w:w="338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3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시나리오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4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기대 동작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5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이유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후보 없음·유형 오류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구분하여 거부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다른 장소·슬롯 승인 방지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상세 미조회·빈 메뉴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거부 또는 다른 후보 선택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추정 메뉴로 성공 금지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다른 ID·오류 코드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실패 상세 기록 금지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정상 원본 덮어쓰기 방지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원본 메뉴 불일치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기존 슬롯 복구로 전달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유사도·별칭 승인 금지</w:t>
            </w:r>
            <w:r>
              <w:rPr>
                <w:rtl w:val="0"/>
              </w:rPr>
            </w:r>
          </w:p>
        </w:tc>
      </w:tr>
    </w:tbl>
    <w:p w14:paraId="000000A2">
      <w:pPr>
        <w:pStyle w:val="Heading1"/>
        <w:spacing w:before="0" w:line="269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A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8 데이터 경계</w:t>
      </w:r>
    </w:p>
    <w:p w14:paraId="000000A4">
      <w:pPr>
        <w:spacing w:after="0" w:line="96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A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후보 ID와 유형을 먼저 확인하고 외부 상세를 신뢰 경계에서 검사한다.</w:t>
      </w:r>
      <w:r>
        <w:rPr>
          <w:rtl w:val="0"/>
        </w:rPr>
      </w:r>
    </w:p>
    <w:p w14:paraId="000000A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오류 사유는 슬롯 위치·후보 ID·실패 종류·허용 메뉴로 구분한다.</w:t>
      </w:r>
      <w:r>
        <w:rPr>
          <w:rtl w:val="0"/>
        </w:rPr>
      </w:r>
    </w:p>
    <w:p w14:paraId="000000A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기존 인증·키·Tool 등록 설정을 유지한다. 신규 권한이나 키 변경은 필요하지 않다.</w:t>
      </w:r>
      <w:r>
        <w:rPr>
          <w:rtl w:val="0"/>
        </w:rPr>
      </w:r>
    </w:p>
    <w:p w14:paraId="000000A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오류를 메뉴 추정이나 필수 슬롯 삭제로 성공 처리하지 않는다.</w:t>
      </w:r>
      <w:r>
        <w:rPr>
          <w:rtl w:val="0"/>
        </w:rPr>
      </w:r>
    </w:p>
    <w:p w14:paraId="000000A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동시 요청 사이의 상세 공유를 금지하고 요청 초기화 이후 이전 메뉴 근거를 폐기한다.</w:t>
      </w:r>
      <w:r>
        <w:rPr>
          <w:rtl w:val="0"/>
        </w:rPr>
      </w:r>
    </w:p>
    <w:p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2" w:lineRule="auto"/>
        <w:ind w:left="0" w:right="0" w:firstLine="0"/>
        <w:jc w:val="both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1e252e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2" w:lineRule="auto"/>
        <w:ind w:left="0" w:right="0" w:firstLine="0"/>
        <w:jc w:val="both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1e252e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14:paraId="000000AC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9 구현 후 확인 게이트</w:t>
      </w:r>
    </w:p>
    <w:tbl>
      <w:tblPr>
        <w:tblStyle w:val="Table7"/>
        <w:tblW w:w="10440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2268"/>
        <w:gridCol w:w="3521"/>
        <w:gridCol w:w="2306"/>
        <w:gridCol w:w="2345"/>
        <w:tblGridChange w:id="0">
          <w:tblGrid>
            <w:gridCol w:w="2268"/>
            <w:gridCol w:w="3521"/>
            <w:gridCol w:w="2306"/>
            <w:gridCol w:w="234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D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확인 경계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E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예정 기준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F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상태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0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게이트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초기 생성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정상 원문·treatmenu 허용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예정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4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 xml:space="preserve">필수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요청 컨텍스트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초기화·동시 요청 격리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예정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8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 xml:space="preserve">필수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재선택·Java 보충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같은 계약·첫 미사용 메뉴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예정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C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 xml:space="preserve">필수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편집·저장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FD6·verifyExisting 보존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예정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0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 xml:space="preserve">필수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review-loop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2회 이상·9점 이상·중대 0건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예정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4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 xml:space="preserve">필수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082a4a"/>
                <w:rtl w:val="0"/>
              </w:rPr>
              <w:t xml:space="preserve">전달 조건: 무료 단위·통합·stub 검증은 계약 증거다. 실제 모델 품질은 별도 승인한 생성 비교로 확인한다. dev 전달만 허용하며 main은 제외한다.</w:t>
            </w:r>
            <w:r>
              <w:rPr>
                <w:rtl w:val="0"/>
              </w:rPr>
            </w:r>
          </w:p>
        </w:tc>
      </w:tr>
    </w:tbl>
    <w:p w14:paraId="000000C9">
      <w:pPr>
        <w:pStyle w:val="Heading1"/>
        <w:spacing w:before="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C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10 Grilling 채택 결정과 대안</w:t>
      </w:r>
    </w:p>
    <w:p w14:paraId="000000CB">
      <w:pPr>
        <w:spacing w:after="0" w:line="14.399999999999999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CC">
      <w:pPr>
        <w:spacing w:after="0" w:line="192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8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03"/>
        <w:gridCol w:w="3313"/>
        <w:gridCol w:w="3824"/>
        <w:tblGridChange w:id="0">
          <w:tblGrid>
            <w:gridCol w:w="3303"/>
            <w:gridCol w:w="3313"/>
            <w:gridCol w:w="382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D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대안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E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검토 이유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F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채택 또는 제외 이유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기존 후보 ID와 메뉴명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현재 DTO·Tool 재사용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채택·새 메뉴 ID 불필요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firstmenu와 treatmenu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실제 메뉴 범위 확보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채택·대표 메뉴 우선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재선택 전체 correction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불일치 응답 교정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제외·기존 슬롯 루프 재사용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동적 enum·ToolContext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선택 스키마·내부 데이터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제외·기존 컨텍스트 활용</w:t>
            </w:r>
            <w:r>
              <w:rPr>
                <w:rtl w:val="0"/>
              </w:rPr>
            </w:r>
          </w:p>
        </w:tc>
      </w:tr>
    </w:tbl>
    <w:p w14:paraId="000000DC">
      <w:pPr>
        <w:pStyle w:val="Heading1"/>
        <w:spacing w:before="0" w:line="269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DD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11 남은 확인 사항</w:t>
      </w:r>
    </w:p>
    <w:p w14:paraId="000000D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구현 전 미결정 정책은 없다. TourAPI의 모호한 메뉴 표기는 fixture와 기존 응답으로 확인해야 한다.</w:t>
      </w:r>
      <w:r>
        <w:rPr>
          <w:rtl w:val="0"/>
        </w:rPr>
      </w:r>
    </w:p>
    <w:p w14:paraId="000000D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실제 API 생성 12회는 별도 승인 전 실행하지 않는다. 성공률·성능·비용은 아직 미측정이다.</w:t>
      </w:r>
      <w:r>
        <w:rPr>
          <w:rtl w:val="0"/>
        </w:rPr>
      </w:r>
    </w:p>
    <w:p w14:paraId="000000E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등록 메뉴의 일치는 실제 재료·알레르기 안전성·현재 영업을 보장하지 않는다.</w:t>
      </w:r>
      <w:r>
        <w:rPr>
          <w:rtl w:val="0"/>
        </w:rPr>
      </w:r>
    </w:p>
    <w:p w14:paraId="000000E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경주 경로 실패의 해결과 영업시간 완화는 이 단계의 범위 밖이다.</w:t>
      </w:r>
      <w:r>
        <w:rPr>
          <w:rtl w:val="0"/>
        </w:rPr>
      </w:r>
    </w:p>
    <w:p w14:paraId="000000E2">
      <w:pPr>
        <w:pStyle w:val="Heading1"/>
        <w:spacing w:before="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E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12 결정과 다음 단계</w:t>
      </w:r>
    </w:p>
    <w:p w14:paraId="000000E4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선택 계약 정렬을 먼저 구현한다. 다음 단계는 실패 종류별 복구와 정상 슬롯 보존이다. 그 증거를 확인한 뒤 Java 필수 일정 골격과 AI 결정 의존 분리의 필요성을 판단한다. P2-5A·P2-5B의 기존 명칭과 이 순서는 구분한다.</w:t>
      </w:r>
      <w:r>
        <w:rPr>
          <w:rtl w:val="0"/>
        </w:rPr>
      </w:r>
    </w:p>
    <w:tbl>
      <w:tblPr>
        <w:tblStyle w:val="Table9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954"/>
        <w:gridCol w:w="3713"/>
        <w:gridCol w:w="3773"/>
        <w:tblGridChange w:id="0">
          <w:tblGrid>
            <w:gridCol w:w="2954"/>
            <w:gridCol w:w="3713"/>
            <w:gridCol w:w="377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5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단계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6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산출물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7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진행 기준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1 선택 계약 정렬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공통 상세 기록·검사·보충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행동별 RED/GREEN·호환성 확인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2 복구·슬롯 보존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실패 종류별 기존 복구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1단계 실패 증거 확인 후 설계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3 Java 골격 판단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필수 일정 골격 필요성 검토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앞 단계 개선 결과 확인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4 AI 의존 분리 판단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결정 관계 분리 필요성 검토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앞 단계 증거 확인</w:t>
            </w:r>
            <w:r>
              <w:rPr>
                <w:rtl w:val="0"/>
              </w:rPr>
            </w:r>
          </w:p>
        </w:tc>
      </w:tr>
    </w:tbl>
    <w:p w14:paraId="000000F4">
      <w:pPr>
        <w:spacing w:after="120" w:line="269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893" w:top="1008" w:left="1008" w:right="1008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6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20"/>
        <w:szCs w:val="20"/>
        <w:u w:val="none"/>
        <w:shd w:fill="auto" w:val="clear"/>
        <w:vertAlign w:val="baseline"/>
      </w:rPr>
    </w:pPr>
    <w: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16"/>
        <w:szCs w:val="16"/>
        <w:u w:val="none"/>
        <w:shd w:fill="auto" w:val="clear"/>
        <w:vertAlign w:val="baseline"/>
        <w:rtl w:val="0"/>
      </w:rPr>
      <w:t xml:space="preserve">Yeoro | 메뉴 선택 계약 설계</w:t>
    </w:r>
    <w:r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9">
    <w:pPr>
      <w:rPr/>
    </w:pPr>
    <w:r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14:paraId="000000F5">
      <w:pPr>
        <w:spacing w:after="0" w:line="270" w:lineRule="auto"/>
        <w:jc w:val="both"/>
        <w:rPr/>
      </w:pPr>
      <w:r>
        <w:rPr>
          <w:rStyle w:val="FootnoteReference"/>
          <w:vertAlign w:val="superscript"/>
        </w:rPr>
        <w:footnoteRef/>
      </w:r>
      <w:r>
        <w:rPr>
          <w:color w:val="233447"/>
          <w:rtl w:val="0"/>
        </w:rPr>
        <w:t xml:space="preserve">Spring AI 프로젝트 BOM은 2.0.0이며 조사한 current 문서는 2.0.1이다. 기존 API만 재사용하는 설계.</w:t>
      </w:r>
      <w:r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6">
    <w:pPr>
      <w:rPr/>
    </w:pPr>
    <w:r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8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33447"/>
        <w:lang w:val="en"/>
      </w:rPr>
    </w:rPrDefault>
    <w:pPrDefault>
      <w:pPr>
        <w:spacing w:after="11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2f6b9a" w:space="2" w:sz="0" w:val="none"/>
        <w:left w:color="2f6b9a" w:space="2" w:sz="0" w:val="none"/>
        <w:bottom w:color="2f6b9a" w:space="2" w:sz="0" w:val="none"/>
        <w:right w:color="2f6b9a" w:space="2" w:sz="0" w:val="none"/>
      </w:pBdr>
      <w:spacing w:after="130" w:line="285" w:lineRule="auto"/>
    </w:pPr>
    <w:rPr>
      <w:b w:val="1"/>
      <w:bCs w:val="1"/>
      <w:color w:val="082a4a"/>
      <w:sz w:val="27"/>
      <w:szCs w:val="27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smallCaps w:val="1"/>
      <w:color w:val="082a4a"/>
      <w:sz w:val="19"/>
      <w:szCs w:val="19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Helvetica Neue" w:cs="Helvetica Neue" w:eastAsia="Helvetica Neue" w:hAnsi="Helvetica Neue"/>
      <w:b w:val="1"/>
      <w:bCs w:val="1"/>
      <w:color w:val="5b7085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082a4a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082a4a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082a4a"/>
    </w:rPr>
  </w:style>
  <w:style w:type="paragraph" w:styleId="Title">
    <w:name w:val="Title"/>
    <w:basedOn w:val="Normal"/>
    <w:next w:val="Normal"/>
    <w:pPr>
      <w:spacing w:after="150" w:lineRule="auto"/>
    </w:pPr>
    <w:rPr>
      <w:b w:val="1"/>
      <w:bCs w:val="1"/>
      <w:color w:val="082a4a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082a4a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example.com/system-design/contracts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8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HelveticaNeueLight-regular.ttf"/><Relationship Id="rId6" Type="http://schemas.openxmlformats.org/officeDocument/2006/relationships/font" Target="fonts/HelveticaNeueLight-bold.ttf"/><Relationship Id="rId7" Type="http://schemas.openxmlformats.org/officeDocument/2006/relationships/font" Target="fonts/HelveticaNeueLight-italic.ttf"/><Relationship Id="rId8" Type="http://schemas.openxmlformats.org/officeDocument/2006/relationships/font" Target="fonts/HelveticaNeue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