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mist-covered plantations of Idukki, where the world’s finest cardamom finds its home, </w:t>
      </w:r>
      <w:r w:rsidDel="00000000" w:rsidR="00000000" w:rsidRPr="00000000">
        <w:rPr>
          <w:b w:val="1"/>
          <w:bCs w:val="1"/>
          <w:rtl w:val="0"/>
        </w:rPr>
        <w:t xml:space="preserve">Idukki Spices &amp; Co.</w:t>
      </w:r>
      <w:r w:rsidDel="00000000" w:rsidR="00000000" w:rsidRPr="00000000">
        <w:rPr>
          <w:rtl w:val="0"/>
        </w:rPr>
        <w:t xml:space="preserve"> traces its roots back over a century.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began in the early 1900s as a family’s devotion to the land has evolved into a legacy of craftsmanship, carried forward through generations.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its heart lies a singular pursuit: perfecting cardamom. Each pod is cultivated with care and graded to exceptional standards featuring bold, 8mm+ capsules that embody richness, aroma, and rarity.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Untouched by additives and guided by time-honoured methods, every harvest preserves the pure essence of Idukki.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than spice, it is a lineage of flavour, refined across generations.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