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Established in 2023 in Maharashtra, Divyani International Exim began with a vision to carry the freshness of India’s farms far beyond its borders while creating fair opportunities for smallholding farmers. Built around the promise of delivering nutrition-rich fruits, vegetables, and traditional food solutions, the company blends agricultural authenticity with modern preservation innovation to keep nature’s goodness intact. With a global outlook and a passion for convenience, quality, and evolving food concepts, Divyani’s story is one of a young enterprise transforming local harvests into trusted international offerings that bring the true taste of India closer to homes worldwide.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