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021C1" w14:textId="3890EBBF" w:rsidR="00E004F5" w:rsidRDefault="005504F4"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INDIVIDUAL LITRATURE REVIEW (INDIVIDUAL)</w:t>
      </w:r>
    </w:p>
    <w:p w14:paraId="07050BB4" w14:textId="77777777" w:rsidR="005504F4" w:rsidRDefault="005504F4"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E91CD29" w14:textId="062FE204" w:rsidR="005504F4" w:rsidRPr="005504F4" w:rsidRDefault="005504F4" w:rsidP="00E004F5">
      <w:pPr>
        <w:spacing w:line="360" w:lineRule="auto"/>
        <w:jc w:val="center"/>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504F4">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8260-BUSINESS TRANSFORMATION</w:t>
      </w:r>
    </w:p>
    <w:p w14:paraId="3969A509" w14:textId="063670F4" w:rsidR="005504F4" w:rsidRPr="005504F4" w:rsidRDefault="005504F4" w:rsidP="00E004F5">
      <w:pPr>
        <w:spacing w:line="360" w:lineRule="auto"/>
        <w:jc w:val="center"/>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504F4">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STUDENT </w:t>
      </w:r>
      <w:proofErr w:type="gramStart"/>
      <w:r w:rsidRPr="005504F4">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NAME :</w:t>
      </w:r>
      <w:proofErr w:type="gramEnd"/>
      <w:r>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5504F4">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NIMANKA SULOCHANI DE SILVA </w:t>
      </w:r>
    </w:p>
    <w:p w14:paraId="7DF34DE3" w14:textId="3F61A67E" w:rsidR="005504F4" w:rsidRPr="005504F4" w:rsidRDefault="005504F4" w:rsidP="00E004F5">
      <w:pPr>
        <w:spacing w:line="360" w:lineRule="auto"/>
        <w:jc w:val="center"/>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504F4">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STUDENT </w:t>
      </w:r>
      <w:proofErr w:type="gramStart"/>
      <w:r w:rsidRPr="005504F4">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NO :</w:t>
      </w:r>
      <w:proofErr w:type="gramEnd"/>
      <w:r w:rsidRPr="005504F4">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108539</w:t>
      </w:r>
    </w:p>
    <w:p w14:paraId="4CFAAD5F" w14:textId="77777777" w:rsidR="00E004F5" w:rsidRPr="005504F4" w:rsidRDefault="00E004F5" w:rsidP="00E004F5">
      <w:pPr>
        <w:spacing w:line="360" w:lineRule="auto"/>
        <w:jc w:val="center"/>
        <w:rPr>
          <w:rFonts w:ascii="Times New Roman" w:hAnsi="Times New Roman" w:cs="Times New Roman"/>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76575B7" w14:textId="77777777" w:rsidR="00E004F5" w:rsidRDefault="00E004F5"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716A4B5" w14:textId="77777777" w:rsidR="00E004F5" w:rsidRDefault="00E004F5"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2D33938" w14:textId="6A61DAE0" w:rsidR="00972A79" w:rsidRDefault="00972A79"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004F5">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Digital Payment Transformation and Financial Access in Island Economies of South Asia: A Literature Review</w:t>
      </w:r>
    </w:p>
    <w:p w14:paraId="4B31F520" w14:textId="77777777" w:rsidR="00E004F5" w:rsidRDefault="00E004F5"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43FEA80" w14:textId="77777777" w:rsidR="00E004F5" w:rsidRDefault="00E004F5"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2732211" w14:textId="77777777" w:rsidR="00E004F5" w:rsidRDefault="00E004F5"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D52CFCD" w14:textId="77777777" w:rsidR="00E004F5" w:rsidRDefault="00E004F5"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5DBC002" w14:textId="77777777" w:rsidR="00E004F5" w:rsidRDefault="00E004F5" w:rsidP="00E004F5">
      <w:pPr>
        <w:spacing w:line="360" w:lineRule="auto"/>
        <w:jc w:val="center"/>
        <w:rPr>
          <w:rFonts w:ascii="Times New Roman" w:hAnsi="Times New Roman" w:cs="Times New Rom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8437BB7" w14:textId="77777777" w:rsidR="00E004F5" w:rsidRDefault="00E004F5" w:rsidP="00E004F5">
      <w:pPr>
        <w:spacing w:line="360" w:lineRule="auto"/>
        <w:jc w:val="center"/>
        <w:rPr>
          <w:rFonts w:ascii="Times New Roman" w:hAnsi="Times New Roman" w:cs="Times New Roman"/>
          <w:b/>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sdt>
      <w:sdtPr>
        <w:rPr>
          <w:rFonts w:asciiTheme="minorHAnsi" w:eastAsiaTheme="minorHAnsi" w:hAnsiTheme="minorHAnsi" w:cstheme="minorBidi"/>
          <w:color w:val="auto"/>
          <w:sz w:val="22"/>
          <w:szCs w:val="22"/>
          <w:lang w:eastAsia="en-US"/>
        </w:rPr>
        <w:id w:val="-1391954732"/>
        <w:docPartObj>
          <w:docPartGallery w:val="Table of Contents"/>
          <w:docPartUnique/>
        </w:docPartObj>
      </w:sdtPr>
      <w:sdtEndPr>
        <w:rPr>
          <w:b/>
          <w:bCs/>
        </w:rPr>
      </w:sdtEndPr>
      <w:sdtContent>
        <w:p w14:paraId="0365AE68" w14:textId="7193091E" w:rsidR="00E004F5" w:rsidRPr="00E004F5" w:rsidRDefault="00E004F5" w:rsidP="00E004F5">
          <w:pPr>
            <w:pStyle w:val="TOCHeading"/>
            <w:jc w:val="center"/>
            <w:rPr>
              <w:b/>
              <w:bCs/>
            </w:rPr>
          </w:pPr>
          <w:r w:rsidRPr="00E004F5">
            <w:rPr>
              <w:b/>
              <w:bCs/>
            </w:rPr>
            <w:t>Table of Contents</w:t>
          </w:r>
        </w:p>
        <w:p w14:paraId="70FF800B" w14:textId="1B59D2B5" w:rsidR="00352F59" w:rsidRDefault="00E004F5">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6467900" w:history="1">
            <w:r w:rsidR="00352F59" w:rsidRPr="00F75999">
              <w:rPr>
                <w:rStyle w:val="Hyperlink"/>
                <w:noProof/>
              </w:rPr>
              <w:t>1. Introduction</w:t>
            </w:r>
            <w:r w:rsidR="00352F59">
              <w:rPr>
                <w:noProof/>
                <w:webHidden/>
              </w:rPr>
              <w:tab/>
            </w:r>
            <w:r w:rsidR="00352F59">
              <w:rPr>
                <w:noProof/>
                <w:webHidden/>
              </w:rPr>
              <w:fldChar w:fldCharType="begin"/>
            </w:r>
            <w:r w:rsidR="00352F59">
              <w:rPr>
                <w:noProof/>
                <w:webHidden/>
              </w:rPr>
              <w:instrText xml:space="preserve"> PAGEREF _Toc216467900 \h </w:instrText>
            </w:r>
            <w:r w:rsidR="00352F59">
              <w:rPr>
                <w:noProof/>
                <w:webHidden/>
              </w:rPr>
            </w:r>
            <w:r w:rsidR="00352F59">
              <w:rPr>
                <w:noProof/>
                <w:webHidden/>
              </w:rPr>
              <w:fldChar w:fldCharType="separate"/>
            </w:r>
            <w:r w:rsidR="005312D5">
              <w:rPr>
                <w:noProof/>
                <w:webHidden/>
              </w:rPr>
              <w:t>1</w:t>
            </w:r>
            <w:r w:rsidR="00352F59">
              <w:rPr>
                <w:noProof/>
                <w:webHidden/>
              </w:rPr>
              <w:fldChar w:fldCharType="end"/>
            </w:r>
          </w:hyperlink>
        </w:p>
        <w:p w14:paraId="14E025FA" w14:textId="70B3338A" w:rsidR="00352F59" w:rsidRDefault="00000000">
          <w:pPr>
            <w:pStyle w:val="TOC1"/>
            <w:tabs>
              <w:tab w:val="right" w:leader="dot" w:pos="9016"/>
            </w:tabs>
            <w:rPr>
              <w:rFonts w:eastAsiaTheme="minorEastAsia"/>
              <w:noProof/>
              <w:kern w:val="2"/>
              <w:sz w:val="24"/>
              <w:szCs w:val="24"/>
              <w:lang w:eastAsia="en-GB"/>
              <w14:ligatures w14:val="standardContextual"/>
            </w:rPr>
          </w:pPr>
          <w:hyperlink w:anchor="_Toc216467901" w:history="1">
            <w:r w:rsidR="00352F59" w:rsidRPr="00F75999">
              <w:rPr>
                <w:rStyle w:val="Hyperlink"/>
                <w:noProof/>
              </w:rPr>
              <w:t>2. Literature Review Method</w:t>
            </w:r>
            <w:r w:rsidR="00352F59">
              <w:rPr>
                <w:noProof/>
                <w:webHidden/>
              </w:rPr>
              <w:tab/>
            </w:r>
            <w:r w:rsidR="00352F59">
              <w:rPr>
                <w:noProof/>
                <w:webHidden/>
              </w:rPr>
              <w:fldChar w:fldCharType="begin"/>
            </w:r>
            <w:r w:rsidR="00352F59">
              <w:rPr>
                <w:noProof/>
                <w:webHidden/>
              </w:rPr>
              <w:instrText xml:space="preserve"> PAGEREF _Toc216467901 \h </w:instrText>
            </w:r>
            <w:r w:rsidR="00352F59">
              <w:rPr>
                <w:noProof/>
                <w:webHidden/>
              </w:rPr>
            </w:r>
            <w:r w:rsidR="00352F59">
              <w:rPr>
                <w:noProof/>
                <w:webHidden/>
              </w:rPr>
              <w:fldChar w:fldCharType="separate"/>
            </w:r>
            <w:r w:rsidR="005312D5">
              <w:rPr>
                <w:noProof/>
                <w:webHidden/>
              </w:rPr>
              <w:t>2</w:t>
            </w:r>
            <w:r w:rsidR="00352F59">
              <w:rPr>
                <w:noProof/>
                <w:webHidden/>
              </w:rPr>
              <w:fldChar w:fldCharType="end"/>
            </w:r>
          </w:hyperlink>
        </w:p>
        <w:p w14:paraId="761DA496" w14:textId="4C0120E8" w:rsidR="00352F59" w:rsidRDefault="00000000">
          <w:pPr>
            <w:pStyle w:val="TOC1"/>
            <w:tabs>
              <w:tab w:val="right" w:leader="dot" w:pos="9016"/>
            </w:tabs>
            <w:rPr>
              <w:rFonts w:eastAsiaTheme="minorEastAsia"/>
              <w:noProof/>
              <w:kern w:val="2"/>
              <w:sz w:val="24"/>
              <w:szCs w:val="24"/>
              <w:lang w:eastAsia="en-GB"/>
              <w14:ligatures w14:val="standardContextual"/>
            </w:rPr>
          </w:pPr>
          <w:hyperlink w:anchor="_Toc216467902" w:history="1">
            <w:r w:rsidR="00352F59" w:rsidRPr="00F75999">
              <w:rPr>
                <w:rStyle w:val="Hyperlink"/>
                <w:noProof/>
              </w:rPr>
              <w:t>3. Body of the Report – Literature Review Analysis</w:t>
            </w:r>
            <w:r w:rsidR="00352F59">
              <w:rPr>
                <w:noProof/>
                <w:webHidden/>
              </w:rPr>
              <w:tab/>
            </w:r>
            <w:r w:rsidR="00352F59">
              <w:rPr>
                <w:noProof/>
                <w:webHidden/>
              </w:rPr>
              <w:fldChar w:fldCharType="begin"/>
            </w:r>
            <w:r w:rsidR="00352F59">
              <w:rPr>
                <w:noProof/>
                <w:webHidden/>
              </w:rPr>
              <w:instrText xml:space="preserve"> PAGEREF _Toc216467902 \h </w:instrText>
            </w:r>
            <w:r w:rsidR="00352F59">
              <w:rPr>
                <w:noProof/>
                <w:webHidden/>
              </w:rPr>
            </w:r>
            <w:r w:rsidR="00352F59">
              <w:rPr>
                <w:noProof/>
                <w:webHidden/>
              </w:rPr>
              <w:fldChar w:fldCharType="separate"/>
            </w:r>
            <w:r w:rsidR="005312D5">
              <w:rPr>
                <w:noProof/>
                <w:webHidden/>
              </w:rPr>
              <w:t>3</w:t>
            </w:r>
            <w:r w:rsidR="00352F59">
              <w:rPr>
                <w:noProof/>
                <w:webHidden/>
              </w:rPr>
              <w:fldChar w:fldCharType="end"/>
            </w:r>
          </w:hyperlink>
        </w:p>
        <w:p w14:paraId="6A3FF43E" w14:textId="383517C2" w:rsidR="00352F59" w:rsidRDefault="00000000">
          <w:pPr>
            <w:pStyle w:val="TOC2"/>
            <w:tabs>
              <w:tab w:val="right" w:leader="dot" w:pos="9016"/>
            </w:tabs>
            <w:rPr>
              <w:rFonts w:eastAsiaTheme="minorEastAsia"/>
              <w:noProof/>
              <w:kern w:val="2"/>
              <w:sz w:val="24"/>
              <w:szCs w:val="24"/>
              <w:lang w:eastAsia="en-GB"/>
              <w14:ligatures w14:val="standardContextual"/>
            </w:rPr>
          </w:pPr>
          <w:hyperlink w:anchor="_Toc216467903" w:history="1">
            <w:r w:rsidR="00352F59" w:rsidRPr="00F75999">
              <w:rPr>
                <w:rStyle w:val="Hyperlink"/>
                <w:noProof/>
              </w:rPr>
              <w:t>3.1 Table of The Results of Peer-Reviewed Articles.</w:t>
            </w:r>
            <w:r w:rsidR="00352F59">
              <w:rPr>
                <w:noProof/>
                <w:webHidden/>
              </w:rPr>
              <w:tab/>
            </w:r>
            <w:r w:rsidR="00352F59">
              <w:rPr>
                <w:noProof/>
                <w:webHidden/>
              </w:rPr>
              <w:fldChar w:fldCharType="begin"/>
            </w:r>
            <w:r w:rsidR="00352F59">
              <w:rPr>
                <w:noProof/>
                <w:webHidden/>
              </w:rPr>
              <w:instrText xml:space="preserve"> PAGEREF _Toc216467903 \h </w:instrText>
            </w:r>
            <w:r w:rsidR="00352F59">
              <w:rPr>
                <w:noProof/>
                <w:webHidden/>
              </w:rPr>
            </w:r>
            <w:r w:rsidR="00352F59">
              <w:rPr>
                <w:noProof/>
                <w:webHidden/>
              </w:rPr>
              <w:fldChar w:fldCharType="separate"/>
            </w:r>
            <w:r w:rsidR="005312D5">
              <w:rPr>
                <w:noProof/>
                <w:webHidden/>
              </w:rPr>
              <w:t>3</w:t>
            </w:r>
            <w:r w:rsidR="00352F59">
              <w:rPr>
                <w:noProof/>
                <w:webHidden/>
              </w:rPr>
              <w:fldChar w:fldCharType="end"/>
            </w:r>
          </w:hyperlink>
        </w:p>
        <w:p w14:paraId="3289E224" w14:textId="3DFB778A" w:rsidR="00352F59" w:rsidRDefault="00000000">
          <w:pPr>
            <w:pStyle w:val="TOC2"/>
            <w:tabs>
              <w:tab w:val="right" w:leader="dot" w:pos="9016"/>
            </w:tabs>
            <w:rPr>
              <w:rFonts w:eastAsiaTheme="minorEastAsia"/>
              <w:noProof/>
              <w:kern w:val="2"/>
              <w:sz w:val="24"/>
              <w:szCs w:val="24"/>
              <w:lang w:eastAsia="en-GB"/>
              <w14:ligatures w14:val="standardContextual"/>
            </w:rPr>
          </w:pPr>
          <w:hyperlink w:anchor="_Toc216467904" w:history="1">
            <w:r w:rsidR="00352F59" w:rsidRPr="00F75999">
              <w:rPr>
                <w:rStyle w:val="Hyperlink"/>
                <w:noProof/>
              </w:rPr>
              <w:t>3.2 Findings and Discussions</w:t>
            </w:r>
            <w:r w:rsidR="00352F59">
              <w:rPr>
                <w:noProof/>
                <w:webHidden/>
              </w:rPr>
              <w:tab/>
            </w:r>
            <w:r w:rsidR="00352F59">
              <w:rPr>
                <w:noProof/>
                <w:webHidden/>
              </w:rPr>
              <w:fldChar w:fldCharType="begin"/>
            </w:r>
            <w:r w:rsidR="00352F59">
              <w:rPr>
                <w:noProof/>
                <w:webHidden/>
              </w:rPr>
              <w:instrText xml:space="preserve"> PAGEREF _Toc216467904 \h </w:instrText>
            </w:r>
            <w:r w:rsidR="00352F59">
              <w:rPr>
                <w:noProof/>
                <w:webHidden/>
              </w:rPr>
            </w:r>
            <w:r w:rsidR="00352F59">
              <w:rPr>
                <w:noProof/>
                <w:webHidden/>
              </w:rPr>
              <w:fldChar w:fldCharType="separate"/>
            </w:r>
            <w:r w:rsidR="005312D5">
              <w:rPr>
                <w:noProof/>
                <w:webHidden/>
              </w:rPr>
              <w:t>6</w:t>
            </w:r>
            <w:r w:rsidR="00352F59">
              <w:rPr>
                <w:noProof/>
                <w:webHidden/>
              </w:rPr>
              <w:fldChar w:fldCharType="end"/>
            </w:r>
          </w:hyperlink>
        </w:p>
        <w:p w14:paraId="6EB53CF7" w14:textId="14C0254E" w:rsidR="00352F59" w:rsidRDefault="00000000">
          <w:pPr>
            <w:pStyle w:val="TOC2"/>
            <w:tabs>
              <w:tab w:val="right" w:leader="dot" w:pos="9016"/>
            </w:tabs>
            <w:rPr>
              <w:rFonts w:eastAsiaTheme="minorEastAsia"/>
              <w:noProof/>
              <w:kern w:val="2"/>
              <w:sz w:val="24"/>
              <w:szCs w:val="24"/>
              <w:lang w:eastAsia="en-GB"/>
              <w14:ligatures w14:val="standardContextual"/>
            </w:rPr>
          </w:pPr>
          <w:hyperlink w:anchor="_Toc216467905" w:history="1">
            <w:r w:rsidR="00352F59" w:rsidRPr="00F75999">
              <w:rPr>
                <w:rStyle w:val="Hyperlink"/>
                <w:noProof/>
              </w:rPr>
              <w:t>3.3 Theoretical Understanding</w:t>
            </w:r>
            <w:r w:rsidR="00352F59">
              <w:rPr>
                <w:noProof/>
                <w:webHidden/>
              </w:rPr>
              <w:tab/>
            </w:r>
            <w:r w:rsidR="00352F59">
              <w:rPr>
                <w:noProof/>
                <w:webHidden/>
              </w:rPr>
              <w:fldChar w:fldCharType="begin"/>
            </w:r>
            <w:r w:rsidR="00352F59">
              <w:rPr>
                <w:noProof/>
                <w:webHidden/>
              </w:rPr>
              <w:instrText xml:space="preserve"> PAGEREF _Toc216467905 \h </w:instrText>
            </w:r>
            <w:r w:rsidR="00352F59">
              <w:rPr>
                <w:noProof/>
                <w:webHidden/>
              </w:rPr>
            </w:r>
            <w:r w:rsidR="00352F59">
              <w:rPr>
                <w:noProof/>
                <w:webHidden/>
              </w:rPr>
              <w:fldChar w:fldCharType="separate"/>
            </w:r>
            <w:r w:rsidR="005312D5">
              <w:rPr>
                <w:noProof/>
                <w:webHidden/>
              </w:rPr>
              <w:t>7</w:t>
            </w:r>
            <w:r w:rsidR="00352F59">
              <w:rPr>
                <w:noProof/>
                <w:webHidden/>
              </w:rPr>
              <w:fldChar w:fldCharType="end"/>
            </w:r>
          </w:hyperlink>
        </w:p>
        <w:p w14:paraId="39F0D148" w14:textId="57ABF3E2" w:rsidR="00352F59" w:rsidRDefault="00000000">
          <w:pPr>
            <w:pStyle w:val="TOC1"/>
            <w:tabs>
              <w:tab w:val="right" w:leader="dot" w:pos="9016"/>
            </w:tabs>
            <w:rPr>
              <w:rFonts w:eastAsiaTheme="minorEastAsia"/>
              <w:noProof/>
              <w:kern w:val="2"/>
              <w:sz w:val="24"/>
              <w:szCs w:val="24"/>
              <w:lang w:eastAsia="en-GB"/>
              <w14:ligatures w14:val="standardContextual"/>
            </w:rPr>
          </w:pPr>
          <w:hyperlink w:anchor="_Toc216467906" w:history="1">
            <w:r w:rsidR="00352F59" w:rsidRPr="00F75999">
              <w:rPr>
                <w:rStyle w:val="Hyperlink"/>
                <w:noProof/>
              </w:rPr>
              <w:t>4.  Conclusions and Recommendations.</w:t>
            </w:r>
            <w:r w:rsidR="00352F59">
              <w:rPr>
                <w:noProof/>
                <w:webHidden/>
              </w:rPr>
              <w:tab/>
            </w:r>
            <w:r w:rsidR="00352F59">
              <w:rPr>
                <w:noProof/>
                <w:webHidden/>
              </w:rPr>
              <w:fldChar w:fldCharType="begin"/>
            </w:r>
            <w:r w:rsidR="00352F59">
              <w:rPr>
                <w:noProof/>
                <w:webHidden/>
              </w:rPr>
              <w:instrText xml:space="preserve"> PAGEREF _Toc216467906 \h </w:instrText>
            </w:r>
            <w:r w:rsidR="00352F59">
              <w:rPr>
                <w:noProof/>
                <w:webHidden/>
              </w:rPr>
            </w:r>
            <w:r w:rsidR="00352F59">
              <w:rPr>
                <w:noProof/>
                <w:webHidden/>
              </w:rPr>
              <w:fldChar w:fldCharType="separate"/>
            </w:r>
            <w:r w:rsidR="005312D5">
              <w:rPr>
                <w:noProof/>
                <w:webHidden/>
              </w:rPr>
              <w:t>9</w:t>
            </w:r>
            <w:r w:rsidR="00352F59">
              <w:rPr>
                <w:noProof/>
                <w:webHidden/>
              </w:rPr>
              <w:fldChar w:fldCharType="end"/>
            </w:r>
          </w:hyperlink>
        </w:p>
        <w:p w14:paraId="6699933E" w14:textId="4FB89C0F" w:rsidR="00352F59" w:rsidRDefault="00000000">
          <w:pPr>
            <w:pStyle w:val="TOC1"/>
            <w:tabs>
              <w:tab w:val="right" w:leader="dot" w:pos="9016"/>
            </w:tabs>
            <w:rPr>
              <w:rFonts w:eastAsiaTheme="minorEastAsia"/>
              <w:noProof/>
              <w:kern w:val="2"/>
              <w:sz w:val="24"/>
              <w:szCs w:val="24"/>
              <w:lang w:eastAsia="en-GB"/>
              <w14:ligatures w14:val="standardContextual"/>
            </w:rPr>
          </w:pPr>
          <w:hyperlink w:anchor="_Toc216467907" w:history="1">
            <w:r w:rsidR="00352F59" w:rsidRPr="00F75999">
              <w:rPr>
                <w:rStyle w:val="Hyperlink"/>
                <w:noProof/>
              </w:rPr>
              <w:t>References</w:t>
            </w:r>
            <w:r w:rsidR="00352F59">
              <w:rPr>
                <w:noProof/>
                <w:webHidden/>
              </w:rPr>
              <w:tab/>
            </w:r>
            <w:r w:rsidR="00352F59">
              <w:rPr>
                <w:noProof/>
                <w:webHidden/>
              </w:rPr>
              <w:fldChar w:fldCharType="begin"/>
            </w:r>
            <w:r w:rsidR="00352F59">
              <w:rPr>
                <w:noProof/>
                <w:webHidden/>
              </w:rPr>
              <w:instrText xml:space="preserve"> PAGEREF _Toc216467907 \h </w:instrText>
            </w:r>
            <w:r w:rsidR="00352F59">
              <w:rPr>
                <w:noProof/>
                <w:webHidden/>
              </w:rPr>
            </w:r>
            <w:r w:rsidR="00352F59">
              <w:rPr>
                <w:noProof/>
                <w:webHidden/>
              </w:rPr>
              <w:fldChar w:fldCharType="separate"/>
            </w:r>
            <w:r w:rsidR="005312D5">
              <w:rPr>
                <w:noProof/>
                <w:webHidden/>
              </w:rPr>
              <w:t>10</w:t>
            </w:r>
            <w:r w:rsidR="00352F59">
              <w:rPr>
                <w:noProof/>
                <w:webHidden/>
              </w:rPr>
              <w:fldChar w:fldCharType="end"/>
            </w:r>
          </w:hyperlink>
        </w:p>
        <w:p w14:paraId="6EE07344" w14:textId="2CB2946E" w:rsidR="00E004F5" w:rsidRDefault="00E004F5">
          <w:r>
            <w:rPr>
              <w:b/>
              <w:bCs/>
            </w:rPr>
            <w:fldChar w:fldCharType="end"/>
          </w:r>
        </w:p>
      </w:sdtContent>
    </w:sdt>
    <w:p w14:paraId="0D16B483" w14:textId="77777777" w:rsidR="00E004F5" w:rsidRPr="00E004F5" w:rsidRDefault="00E004F5" w:rsidP="00E004F5">
      <w:pPr>
        <w:spacing w:line="360" w:lineRule="auto"/>
        <w:rPr>
          <w:rFonts w:ascii="Times New Roman" w:hAnsi="Times New Roman" w:cs="Times New Roman"/>
          <w:b/>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2F9A209" w14:textId="77777777" w:rsidR="00E004F5" w:rsidRDefault="00E004F5" w:rsidP="00E004F5">
      <w:pPr>
        <w:pStyle w:val="Heading1"/>
      </w:pPr>
    </w:p>
    <w:p w14:paraId="38B99BA0" w14:textId="77777777" w:rsidR="00E004F5" w:rsidRDefault="00E004F5" w:rsidP="00E004F5">
      <w:pPr>
        <w:pStyle w:val="Heading1"/>
      </w:pPr>
    </w:p>
    <w:p w14:paraId="227ECCE4" w14:textId="77777777" w:rsidR="00E004F5" w:rsidRDefault="00E004F5" w:rsidP="00E004F5">
      <w:pPr>
        <w:pStyle w:val="Heading1"/>
      </w:pPr>
    </w:p>
    <w:p w14:paraId="59007431" w14:textId="77777777" w:rsidR="00E004F5" w:rsidRDefault="00E004F5" w:rsidP="00E004F5">
      <w:pPr>
        <w:pStyle w:val="Heading1"/>
      </w:pPr>
    </w:p>
    <w:p w14:paraId="36FC2101" w14:textId="77777777" w:rsidR="00E004F5" w:rsidRDefault="00E004F5" w:rsidP="00E004F5">
      <w:pPr>
        <w:pStyle w:val="Heading1"/>
      </w:pPr>
    </w:p>
    <w:p w14:paraId="4C6B4DAA" w14:textId="77777777" w:rsidR="00E004F5" w:rsidRDefault="00E004F5" w:rsidP="00E004F5">
      <w:pPr>
        <w:pStyle w:val="Heading1"/>
      </w:pPr>
    </w:p>
    <w:p w14:paraId="5366479F" w14:textId="77777777" w:rsidR="00E004F5" w:rsidRDefault="00E004F5" w:rsidP="00E004F5">
      <w:pPr>
        <w:pStyle w:val="Heading1"/>
      </w:pPr>
    </w:p>
    <w:p w14:paraId="62EB5A70" w14:textId="77777777" w:rsidR="00E004F5" w:rsidRDefault="00E004F5" w:rsidP="00E004F5">
      <w:pPr>
        <w:pStyle w:val="Heading1"/>
      </w:pPr>
    </w:p>
    <w:p w14:paraId="71991DC2" w14:textId="77777777" w:rsidR="00E004F5" w:rsidRDefault="00E004F5" w:rsidP="00E004F5">
      <w:pPr>
        <w:pStyle w:val="Heading1"/>
      </w:pPr>
    </w:p>
    <w:p w14:paraId="3BBAC08D" w14:textId="77777777" w:rsidR="00E004F5" w:rsidRDefault="00E004F5" w:rsidP="00E004F5"/>
    <w:p w14:paraId="6D27768F" w14:textId="77777777" w:rsidR="00E004F5" w:rsidRDefault="00E004F5" w:rsidP="00E004F5">
      <w:pPr>
        <w:sectPr w:rsidR="00E004F5" w:rsidSect="00E004F5">
          <w:footerReference w:type="default" r:id="rId7"/>
          <w:pgSz w:w="11906" w:h="16838"/>
          <w:pgMar w:top="1440" w:right="1440" w:bottom="1440" w:left="1440" w:header="0" w:footer="0" w:gutter="0"/>
          <w:pgNumType w:fmt="lowerRoman"/>
          <w:cols w:space="720"/>
          <w:docGrid w:linePitch="360"/>
        </w:sectPr>
      </w:pPr>
    </w:p>
    <w:p w14:paraId="08773610" w14:textId="77777777" w:rsidR="00E004F5" w:rsidRPr="00E004F5" w:rsidRDefault="00E004F5" w:rsidP="00E004F5"/>
    <w:p w14:paraId="2D5E7089" w14:textId="25CD80EB" w:rsidR="00972A79" w:rsidRPr="00E004F5" w:rsidRDefault="00352F59" w:rsidP="00E004F5">
      <w:pPr>
        <w:pStyle w:val="Heading1"/>
      </w:pPr>
      <w:bookmarkStart w:id="0" w:name="_Toc216467900"/>
      <w:r>
        <w:t xml:space="preserve">1. </w:t>
      </w:r>
      <w:r w:rsidR="00972A79" w:rsidRPr="00E004F5">
        <w:t>Introduction</w:t>
      </w:r>
      <w:bookmarkEnd w:id="0"/>
    </w:p>
    <w:p w14:paraId="4F55C3D0" w14:textId="564F4D32" w:rsidR="00972A79" w:rsidRPr="00E004F5" w:rsidRDefault="00BD12F7" w:rsidP="00E004F5">
      <w:pPr>
        <w:spacing w:line="360" w:lineRule="auto"/>
        <w:jc w:val="both"/>
        <w:rPr>
          <w:rFonts w:ascii="Times New Roman" w:hAnsi="Times New Roman" w:cs="Times New Roman"/>
          <w:sz w:val="24"/>
          <w:szCs w:val="24"/>
        </w:rPr>
      </w:pPr>
      <w:r w:rsidRPr="00A67CD5">
        <w:rPr>
          <w:rFonts w:ascii="Times New Roman" w:hAnsi="Times New Roman" w:cs="Times New Roman"/>
          <w:sz w:val="24"/>
          <w:szCs w:val="24"/>
        </w:rPr>
        <w:t>The accelerated transition to the digital payment systems can be considered as one of the most radical business transformations in the contemporary South Asian economies that has radically altered the procedure of providing financial services and expanded the access to the formal financial infrastructure. The transformation of digital payment is coupled with the urgency of development in geographically spread populations in Island economies with moderate banking penetration and high informal economies and having a distinct situation in South Asia (Seneviratne and Perera, 2020). This change is so significant to study in the framework of the island economies that it is characterized by the following features: the absence of physical banking facilities in geographically fragmented areas, the reliance on the inflow of remittances by migrant workers to a large extent, and the small-scale businesses as a major economic activity, which is a feature of the informal sector. The current commercial banking institutions are facing unprecedented competition in the form of telecommunications providers and financial technology startups which are leveraging the mobile technology infrastructure to provide payment services, and are at the same time creating entry points to previously underbanked segments of the population to enter into formal financial systems.</w:t>
      </w:r>
      <w:r w:rsidR="00972A79" w:rsidRPr="00E004F5">
        <w:rPr>
          <w:rFonts w:ascii="Times New Roman" w:hAnsi="Times New Roman" w:cs="Times New Roman"/>
          <w:sz w:val="24"/>
          <w:szCs w:val="24"/>
        </w:rPr>
        <w:t xml:space="preserve"> This two-fold breakage generates a complicated gameplay in which the older financial institutions have to both protect current market niche positions and, at the same time, respond to radically different competitive paradigms of platform economies and network effects instead of the old paradigm of branch-based service provision. The present literature review analyses the multidimensional effect of digital payment transformation in the island economies of South Asia, and in particular, organizational response by the established financial institutions, evolution of regulatory frameworks, and development of national payment infrastructure. The range includes the important debates on whether or not the digital payment systems actually mitigate financial exclusion or introduce new categories of digital divide and the degree to which the digitization of payment is a platform to more extensive adoption of financial services. The given review will provide a synthesis of the current academic studies, pinpoint existing theoretical frameworks, and outline gaps that need to be filled with new research.</w:t>
      </w:r>
    </w:p>
    <w:p w14:paraId="1CC31A78" w14:textId="158690DB" w:rsidR="00972A79" w:rsidRPr="00E004F5" w:rsidRDefault="00D642E8" w:rsidP="00E004F5">
      <w:pPr>
        <w:pStyle w:val="Heading1"/>
      </w:pPr>
      <w:bookmarkStart w:id="1" w:name="_Toc216467901"/>
      <w:r w:rsidRPr="00E004F5">
        <w:lastRenderedPageBreak/>
        <w:t xml:space="preserve">2. </w:t>
      </w:r>
      <w:r w:rsidR="00972A79" w:rsidRPr="00E004F5">
        <w:t>Literature Review Method</w:t>
      </w:r>
      <w:bookmarkEnd w:id="1"/>
    </w:p>
    <w:p w14:paraId="0B8D1ED0" w14:textId="7B73DC24" w:rsidR="00972A79" w:rsidRDefault="00972A79"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A systematic method of literature review has been used and employed various academic databases such as Emerald Insight, IEEE Xplore, ScienceDirect, and Google Scholar. Search terms were a combination of the idea of digital payments, mobile money, financial inclusion, FinTech, and South Asia. To make sure that the publications are topical, the temporal limits were set to 2015-2025. Peer-reviewed journal articles that were published in English were also included as inclusion criteria, as were empirical or theoretical publications that discussed digital payment systems in the context of developing economies, and specifically focused on the dimensions of financial access or business transformation. The exclusion criteria eliminated conference proceedings and studies that were limited to the context of the developed economies. The first search produced about 45 articles pertinent to the study and these articles were filtered according to the relevance of the abstracts and this led to the selection of thirteen quality peer-reviewed articles. The issue statement that led to this review is how digital payment transformation is both a business disruption mechanism and a financial inclusion enabler in resource-constrained island economy settings.</w:t>
      </w:r>
    </w:p>
    <w:p w14:paraId="765D58CB" w14:textId="77777777" w:rsidR="00E004F5" w:rsidRDefault="00E004F5" w:rsidP="00E004F5">
      <w:pPr>
        <w:spacing w:line="360" w:lineRule="auto"/>
        <w:jc w:val="both"/>
        <w:rPr>
          <w:rFonts w:ascii="Times New Roman" w:hAnsi="Times New Roman" w:cs="Times New Roman"/>
          <w:sz w:val="24"/>
          <w:szCs w:val="24"/>
        </w:rPr>
      </w:pPr>
    </w:p>
    <w:p w14:paraId="6C23FE25" w14:textId="77777777" w:rsidR="00E004F5" w:rsidRDefault="00E004F5" w:rsidP="00E004F5">
      <w:pPr>
        <w:spacing w:line="360" w:lineRule="auto"/>
        <w:jc w:val="both"/>
        <w:rPr>
          <w:rFonts w:ascii="Times New Roman" w:hAnsi="Times New Roman" w:cs="Times New Roman"/>
          <w:sz w:val="24"/>
          <w:szCs w:val="24"/>
        </w:rPr>
      </w:pPr>
    </w:p>
    <w:p w14:paraId="28970C52" w14:textId="77777777" w:rsidR="00E004F5" w:rsidRDefault="00E004F5" w:rsidP="00E004F5">
      <w:pPr>
        <w:spacing w:line="360" w:lineRule="auto"/>
        <w:jc w:val="both"/>
        <w:rPr>
          <w:rFonts w:ascii="Times New Roman" w:hAnsi="Times New Roman" w:cs="Times New Roman"/>
          <w:sz w:val="24"/>
          <w:szCs w:val="24"/>
        </w:rPr>
      </w:pPr>
    </w:p>
    <w:p w14:paraId="4AC617FB" w14:textId="77777777" w:rsidR="00E004F5" w:rsidRDefault="00E004F5" w:rsidP="00E004F5">
      <w:pPr>
        <w:spacing w:line="360" w:lineRule="auto"/>
        <w:jc w:val="both"/>
        <w:rPr>
          <w:rFonts w:ascii="Times New Roman" w:hAnsi="Times New Roman" w:cs="Times New Roman"/>
          <w:sz w:val="24"/>
          <w:szCs w:val="24"/>
        </w:rPr>
      </w:pPr>
    </w:p>
    <w:p w14:paraId="307CFA84" w14:textId="77777777" w:rsidR="00E004F5" w:rsidRDefault="00E004F5" w:rsidP="00E004F5">
      <w:pPr>
        <w:spacing w:line="360" w:lineRule="auto"/>
        <w:jc w:val="both"/>
        <w:rPr>
          <w:rFonts w:ascii="Times New Roman" w:hAnsi="Times New Roman" w:cs="Times New Roman"/>
          <w:sz w:val="24"/>
          <w:szCs w:val="24"/>
        </w:rPr>
      </w:pPr>
    </w:p>
    <w:p w14:paraId="5D01C0D2" w14:textId="77777777" w:rsidR="00E004F5" w:rsidRDefault="00E004F5" w:rsidP="00E004F5">
      <w:pPr>
        <w:spacing w:line="360" w:lineRule="auto"/>
        <w:jc w:val="both"/>
        <w:rPr>
          <w:rFonts w:ascii="Times New Roman" w:hAnsi="Times New Roman" w:cs="Times New Roman"/>
          <w:sz w:val="24"/>
          <w:szCs w:val="24"/>
        </w:rPr>
      </w:pPr>
    </w:p>
    <w:p w14:paraId="21EEB120" w14:textId="77777777" w:rsidR="00E004F5" w:rsidRDefault="00E004F5" w:rsidP="00E004F5">
      <w:pPr>
        <w:spacing w:line="360" w:lineRule="auto"/>
        <w:jc w:val="both"/>
        <w:rPr>
          <w:rFonts w:ascii="Times New Roman" w:hAnsi="Times New Roman" w:cs="Times New Roman"/>
          <w:sz w:val="24"/>
          <w:szCs w:val="24"/>
        </w:rPr>
      </w:pPr>
    </w:p>
    <w:p w14:paraId="01E37F12" w14:textId="77777777" w:rsidR="00E004F5" w:rsidRDefault="00E004F5" w:rsidP="00E004F5">
      <w:pPr>
        <w:spacing w:line="360" w:lineRule="auto"/>
        <w:jc w:val="both"/>
        <w:rPr>
          <w:rFonts w:ascii="Times New Roman" w:hAnsi="Times New Roman" w:cs="Times New Roman"/>
          <w:sz w:val="24"/>
          <w:szCs w:val="24"/>
        </w:rPr>
      </w:pPr>
    </w:p>
    <w:p w14:paraId="24CCA72E" w14:textId="77777777" w:rsidR="00E004F5" w:rsidRPr="00E004F5" w:rsidRDefault="00E004F5" w:rsidP="00E004F5">
      <w:pPr>
        <w:spacing w:line="360" w:lineRule="auto"/>
        <w:jc w:val="both"/>
        <w:rPr>
          <w:rFonts w:ascii="Times New Roman" w:hAnsi="Times New Roman" w:cs="Times New Roman"/>
          <w:sz w:val="24"/>
          <w:szCs w:val="24"/>
        </w:rPr>
      </w:pPr>
    </w:p>
    <w:p w14:paraId="1BC86CA8" w14:textId="72FD26B2" w:rsidR="00E004F5" w:rsidRPr="00E004F5" w:rsidRDefault="00D642E8" w:rsidP="00E004F5">
      <w:pPr>
        <w:pStyle w:val="Heading1"/>
      </w:pPr>
      <w:bookmarkStart w:id="2" w:name="_Toc216467902"/>
      <w:r w:rsidRPr="00E004F5">
        <w:lastRenderedPageBreak/>
        <w:t>3. Body of the Report – Literature Review Analysis</w:t>
      </w:r>
      <w:bookmarkEnd w:id="2"/>
    </w:p>
    <w:p w14:paraId="22004FC9" w14:textId="3F92F098" w:rsidR="00972A79" w:rsidRPr="00E004F5" w:rsidRDefault="00972A79" w:rsidP="00E004F5">
      <w:pPr>
        <w:pStyle w:val="Heading2"/>
      </w:pPr>
      <w:bookmarkStart w:id="3" w:name="_Toc216467903"/>
      <w:r w:rsidRPr="00E004F5">
        <w:t>3.1 Table of The Results of Peer-Reviewed Articles.</w:t>
      </w:r>
      <w:bookmarkEnd w:id="3"/>
    </w:p>
    <w:tbl>
      <w:tblPr>
        <w:tblStyle w:val="TableGrid"/>
        <w:tblW w:w="0" w:type="auto"/>
        <w:tblLook w:val="04A0" w:firstRow="1" w:lastRow="0" w:firstColumn="1" w:lastColumn="0" w:noHBand="0" w:noVBand="1"/>
      </w:tblPr>
      <w:tblGrid>
        <w:gridCol w:w="536"/>
        <w:gridCol w:w="1683"/>
        <w:gridCol w:w="2105"/>
        <w:gridCol w:w="1323"/>
        <w:gridCol w:w="1612"/>
        <w:gridCol w:w="1757"/>
      </w:tblGrid>
      <w:tr w:rsidR="00D642E8" w:rsidRPr="00E004F5" w14:paraId="356EE0EC" w14:textId="77777777" w:rsidTr="006F7EDE">
        <w:tc>
          <w:tcPr>
            <w:tcW w:w="525" w:type="dxa"/>
          </w:tcPr>
          <w:p w14:paraId="5F72571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No. </w:t>
            </w:r>
          </w:p>
        </w:tc>
        <w:tc>
          <w:tcPr>
            <w:tcW w:w="1663" w:type="dxa"/>
          </w:tcPr>
          <w:p w14:paraId="4082D7E2"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Authors &amp; Year </w:t>
            </w:r>
          </w:p>
        </w:tc>
        <w:tc>
          <w:tcPr>
            <w:tcW w:w="1677" w:type="dxa"/>
          </w:tcPr>
          <w:p w14:paraId="76A0BD82"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Title </w:t>
            </w:r>
          </w:p>
        </w:tc>
        <w:tc>
          <w:tcPr>
            <w:tcW w:w="1757" w:type="dxa"/>
          </w:tcPr>
          <w:p w14:paraId="0F931E37"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Context </w:t>
            </w:r>
          </w:p>
        </w:tc>
        <w:tc>
          <w:tcPr>
            <w:tcW w:w="1584" w:type="dxa"/>
          </w:tcPr>
          <w:p w14:paraId="19FACC5F"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Key Findings </w:t>
            </w:r>
          </w:p>
        </w:tc>
        <w:tc>
          <w:tcPr>
            <w:tcW w:w="1810" w:type="dxa"/>
          </w:tcPr>
          <w:p w14:paraId="457F0851"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Critical Summary </w:t>
            </w:r>
          </w:p>
        </w:tc>
      </w:tr>
      <w:tr w:rsidR="00D642E8" w:rsidRPr="00E004F5" w14:paraId="5C697598" w14:textId="77777777" w:rsidTr="006F7EDE">
        <w:tc>
          <w:tcPr>
            <w:tcW w:w="525" w:type="dxa"/>
          </w:tcPr>
          <w:p w14:paraId="79B77ADF"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1 </w:t>
            </w:r>
          </w:p>
        </w:tc>
        <w:tc>
          <w:tcPr>
            <w:tcW w:w="1663" w:type="dxa"/>
          </w:tcPr>
          <w:p w14:paraId="0EF1C59C"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Seneviratne &amp; Perera (2020) </w:t>
            </w:r>
          </w:p>
        </w:tc>
        <w:tc>
          <w:tcPr>
            <w:tcW w:w="1677" w:type="dxa"/>
          </w:tcPr>
          <w:p w14:paraId="6C36AA3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Mobile money and financial inclusion </w:t>
            </w:r>
          </w:p>
        </w:tc>
        <w:tc>
          <w:tcPr>
            <w:tcW w:w="1757" w:type="dxa"/>
          </w:tcPr>
          <w:p w14:paraId="082DEBB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 national survey </w:t>
            </w:r>
          </w:p>
        </w:tc>
        <w:tc>
          <w:tcPr>
            <w:tcW w:w="1584" w:type="dxa"/>
          </w:tcPr>
          <w:p w14:paraId="64B7666C"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Mobile money adoption increased financial access by 34% among rural populations; transaction costs reduced by 42% </w:t>
            </w:r>
          </w:p>
        </w:tc>
        <w:tc>
          <w:tcPr>
            <w:tcW w:w="1810" w:type="dxa"/>
          </w:tcPr>
          <w:p w14:paraId="6AE132DF"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Robust quantitative evidence but limited analysis of sustainability </w:t>
            </w:r>
          </w:p>
        </w:tc>
      </w:tr>
      <w:tr w:rsidR="00D642E8" w:rsidRPr="00E004F5" w14:paraId="30AF66BA" w14:textId="77777777" w:rsidTr="006F7EDE">
        <w:tc>
          <w:tcPr>
            <w:tcW w:w="525" w:type="dxa"/>
          </w:tcPr>
          <w:p w14:paraId="54D1274D"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2 </w:t>
            </w:r>
          </w:p>
        </w:tc>
        <w:tc>
          <w:tcPr>
            <w:tcW w:w="1663" w:type="dxa"/>
          </w:tcPr>
          <w:p w14:paraId="76DDA211"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Fernando et al. (2019) </w:t>
            </w:r>
          </w:p>
        </w:tc>
        <w:tc>
          <w:tcPr>
            <w:tcW w:w="1677" w:type="dxa"/>
          </w:tcPr>
          <w:p w14:paraId="2F9F520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Digital payment systems and bank transformation </w:t>
            </w:r>
          </w:p>
        </w:tc>
        <w:tc>
          <w:tcPr>
            <w:tcW w:w="1757" w:type="dxa"/>
          </w:tcPr>
          <w:p w14:paraId="0E198C2A"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Lankan commercial banks </w:t>
            </w:r>
          </w:p>
        </w:tc>
        <w:tc>
          <w:tcPr>
            <w:tcW w:w="1584" w:type="dxa"/>
          </w:tcPr>
          <w:p w14:paraId="0522E9A6"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Banks investing in digital infrastructure retained market share; delayed banks faced 18% attrition </w:t>
            </w:r>
          </w:p>
        </w:tc>
        <w:tc>
          <w:tcPr>
            <w:tcW w:w="1810" w:type="dxa"/>
          </w:tcPr>
          <w:p w14:paraId="276A363C"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Strong organizational focus but insufficient regulatory attention </w:t>
            </w:r>
          </w:p>
        </w:tc>
      </w:tr>
      <w:tr w:rsidR="00D642E8" w:rsidRPr="00E004F5" w14:paraId="10F2B515" w14:textId="77777777" w:rsidTr="006F7EDE">
        <w:tc>
          <w:tcPr>
            <w:tcW w:w="525" w:type="dxa"/>
          </w:tcPr>
          <w:p w14:paraId="5404B99F"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3 </w:t>
            </w:r>
          </w:p>
        </w:tc>
        <w:tc>
          <w:tcPr>
            <w:tcW w:w="1663" w:type="dxa"/>
          </w:tcPr>
          <w:p w14:paraId="5451F09D"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Jayawardena &amp; Silva (2021) </w:t>
            </w:r>
          </w:p>
        </w:tc>
        <w:tc>
          <w:tcPr>
            <w:tcW w:w="1677" w:type="dxa"/>
          </w:tcPr>
          <w:p w14:paraId="6688876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FinTech disruption in island economies </w:t>
            </w:r>
          </w:p>
        </w:tc>
        <w:tc>
          <w:tcPr>
            <w:tcW w:w="1757" w:type="dxa"/>
          </w:tcPr>
          <w:p w14:paraId="1EC08358"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 and Maldives comparative </w:t>
            </w:r>
          </w:p>
        </w:tc>
        <w:tc>
          <w:tcPr>
            <w:tcW w:w="1584" w:type="dxa"/>
          </w:tcPr>
          <w:p w14:paraId="5A7B8E86"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Regulatory fragmentation hindered interoperability; consumer protection lagged innovation </w:t>
            </w:r>
          </w:p>
        </w:tc>
        <w:tc>
          <w:tcPr>
            <w:tcW w:w="1810" w:type="dxa"/>
          </w:tcPr>
          <w:p w14:paraId="5117966D"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Excellent regulatory analysis but weak implementation details </w:t>
            </w:r>
          </w:p>
        </w:tc>
      </w:tr>
      <w:tr w:rsidR="00D642E8" w:rsidRPr="00E004F5" w14:paraId="319CDDD3" w14:textId="77777777" w:rsidTr="006F7EDE">
        <w:tc>
          <w:tcPr>
            <w:tcW w:w="525" w:type="dxa"/>
          </w:tcPr>
          <w:p w14:paraId="4A19A62B"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lastRenderedPageBreak/>
              <w:t xml:space="preserve"> 4 </w:t>
            </w:r>
          </w:p>
        </w:tc>
        <w:tc>
          <w:tcPr>
            <w:tcW w:w="1663" w:type="dxa"/>
          </w:tcPr>
          <w:p w14:paraId="55089AA8"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Dissanayake &amp; </w:t>
            </w:r>
            <w:proofErr w:type="spellStart"/>
            <w:r w:rsidRPr="00E004F5">
              <w:rPr>
                <w:rFonts w:ascii="Times New Roman" w:hAnsi="Times New Roman" w:cs="Times New Roman"/>
                <w:sz w:val="24"/>
                <w:szCs w:val="24"/>
              </w:rPr>
              <w:t>Wickramasinghe</w:t>
            </w:r>
            <w:proofErr w:type="spellEnd"/>
            <w:r w:rsidRPr="00E004F5">
              <w:rPr>
                <w:rFonts w:ascii="Times New Roman" w:hAnsi="Times New Roman" w:cs="Times New Roman"/>
                <w:sz w:val="24"/>
                <w:szCs w:val="24"/>
              </w:rPr>
              <w:t xml:space="preserve"> (2018) </w:t>
            </w:r>
          </w:p>
        </w:tc>
        <w:tc>
          <w:tcPr>
            <w:tcW w:w="1677" w:type="dxa"/>
          </w:tcPr>
          <w:p w14:paraId="46221378"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Mobile banking adoption and financial literacy </w:t>
            </w:r>
          </w:p>
        </w:tc>
        <w:tc>
          <w:tcPr>
            <w:tcW w:w="1757" w:type="dxa"/>
          </w:tcPr>
          <w:p w14:paraId="2451C6C6"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Rural districts Sri Lanka </w:t>
            </w:r>
          </w:p>
        </w:tc>
        <w:tc>
          <w:tcPr>
            <w:tcW w:w="1584" w:type="dxa"/>
          </w:tcPr>
          <w:p w14:paraId="70436E25"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Financial literacy mediated adoption; education increased uptake by 27% </w:t>
            </w:r>
          </w:p>
        </w:tc>
        <w:tc>
          <w:tcPr>
            <w:tcW w:w="1810" w:type="dxa"/>
          </w:tcPr>
          <w:p w14:paraId="65E587F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Important capability </w:t>
            </w:r>
            <w:proofErr w:type="gramStart"/>
            <w:r w:rsidRPr="00E004F5">
              <w:rPr>
                <w:rFonts w:ascii="Times New Roman" w:hAnsi="Times New Roman" w:cs="Times New Roman"/>
                <w:sz w:val="24"/>
                <w:szCs w:val="24"/>
              </w:rPr>
              <w:t>focus</w:t>
            </w:r>
            <w:proofErr w:type="gramEnd"/>
            <w:r w:rsidRPr="00E004F5">
              <w:rPr>
                <w:rFonts w:ascii="Times New Roman" w:hAnsi="Times New Roman" w:cs="Times New Roman"/>
                <w:sz w:val="24"/>
                <w:szCs w:val="24"/>
              </w:rPr>
              <w:t xml:space="preserve"> but limited generalizability </w:t>
            </w:r>
          </w:p>
        </w:tc>
      </w:tr>
      <w:tr w:rsidR="00D642E8" w:rsidRPr="00E004F5" w14:paraId="7FAC9922" w14:textId="77777777" w:rsidTr="006F7EDE">
        <w:tc>
          <w:tcPr>
            <w:tcW w:w="525" w:type="dxa"/>
          </w:tcPr>
          <w:p w14:paraId="69F6C71C"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5 </w:t>
            </w:r>
          </w:p>
        </w:tc>
        <w:tc>
          <w:tcPr>
            <w:tcW w:w="1663" w:type="dxa"/>
          </w:tcPr>
          <w:p w14:paraId="3B4166BF"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w:t>
            </w:r>
            <w:proofErr w:type="spellStart"/>
            <w:r w:rsidRPr="00E004F5">
              <w:rPr>
                <w:rFonts w:ascii="Times New Roman" w:hAnsi="Times New Roman" w:cs="Times New Roman"/>
                <w:sz w:val="24"/>
                <w:szCs w:val="24"/>
              </w:rPr>
              <w:t>Ozili</w:t>
            </w:r>
            <w:proofErr w:type="spellEnd"/>
            <w:r w:rsidRPr="00E004F5">
              <w:rPr>
                <w:rFonts w:ascii="Times New Roman" w:hAnsi="Times New Roman" w:cs="Times New Roman"/>
                <w:sz w:val="24"/>
                <w:szCs w:val="24"/>
              </w:rPr>
              <w:t xml:space="preserve"> (2018) </w:t>
            </w:r>
          </w:p>
        </w:tc>
        <w:tc>
          <w:tcPr>
            <w:tcW w:w="1677" w:type="dxa"/>
          </w:tcPr>
          <w:p w14:paraId="570F849A"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Impact of digital finance </w:t>
            </w:r>
          </w:p>
        </w:tc>
        <w:tc>
          <w:tcPr>
            <w:tcW w:w="1757" w:type="dxa"/>
          </w:tcPr>
          <w:p w14:paraId="095EF246"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Global developing economies </w:t>
            </w:r>
          </w:p>
        </w:tc>
        <w:tc>
          <w:tcPr>
            <w:tcW w:w="1584" w:type="dxa"/>
          </w:tcPr>
          <w:p w14:paraId="1A81113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Digital finance expanded access but created new regulatory risks </w:t>
            </w:r>
          </w:p>
        </w:tc>
        <w:tc>
          <w:tcPr>
            <w:tcW w:w="1810" w:type="dxa"/>
          </w:tcPr>
          <w:p w14:paraId="647F38A2"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Comprehensive international perspective but lacks regional depth </w:t>
            </w:r>
          </w:p>
        </w:tc>
      </w:tr>
      <w:tr w:rsidR="00D642E8" w:rsidRPr="00E004F5" w14:paraId="70A05BB3" w14:textId="77777777" w:rsidTr="006F7EDE">
        <w:tc>
          <w:tcPr>
            <w:tcW w:w="525" w:type="dxa"/>
          </w:tcPr>
          <w:p w14:paraId="1B7B97FA"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6 </w:t>
            </w:r>
          </w:p>
        </w:tc>
        <w:tc>
          <w:tcPr>
            <w:tcW w:w="1663" w:type="dxa"/>
          </w:tcPr>
          <w:p w14:paraId="6F821793"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w:t>
            </w:r>
            <w:proofErr w:type="spellStart"/>
            <w:r w:rsidRPr="00E004F5">
              <w:rPr>
                <w:rFonts w:ascii="Times New Roman" w:hAnsi="Times New Roman" w:cs="Times New Roman"/>
                <w:sz w:val="24"/>
                <w:szCs w:val="24"/>
              </w:rPr>
              <w:t>Wijesekera</w:t>
            </w:r>
            <w:proofErr w:type="spellEnd"/>
            <w:r w:rsidRPr="00E004F5">
              <w:rPr>
                <w:rFonts w:ascii="Times New Roman" w:hAnsi="Times New Roman" w:cs="Times New Roman"/>
                <w:sz w:val="24"/>
                <w:szCs w:val="24"/>
              </w:rPr>
              <w:t xml:space="preserve"> &amp; </w:t>
            </w:r>
            <w:proofErr w:type="spellStart"/>
            <w:r w:rsidRPr="00E004F5">
              <w:rPr>
                <w:rFonts w:ascii="Times New Roman" w:hAnsi="Times New Roman" w:cs="Times New Roman"/>
                <w:sz w:val="24"/>
                <w:szCs w:val="24"/>
              </w:rPr>
              <w:t>Amarasinghe</w:t>
            </w:r>
            <w:proofErr w:type="spellEnd"/>
            <w:r w:rsidRPr="00E004F5">
              <w:rPr>
                <w:rFonts w:ascii="Times New Roman" w:hAnsi="Times New Roman" w:cs="Times New Roman"/>
                <w:sz w:val="24"/>
                <w:szCs w:val="24"/>
              </w:rPr>
              <w:t xml:space="preserve"> (2020) </w:t>
            </w:r>
          </w:p>
        </w:tc>
        <w:tc>
          <w:tcPr>
            <w:tcW w:w="1677" w:type="dxa"/>
          </w:tcPr>
          <w:p w14:paraId="6CCF66B9"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Digital services and informal economy </w:t>
            </w:r>
          </w:p>
        </w:tc>
        <w:tc>
          <w:tcPr>
            <w:tcW w:w="1757" w:type="dxa"/>
          </w:tcPr>
          <w:p w14:paraId="6BA4BF04"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Lankan informal sector </w:t>
            </w:r>
          </w:p>
        </w:tc>
        <w:tc>
          <w:tcPr>
            <w:tcW w:w="1584" w:type="dxa"/>
          </w:tcPr>
          <w:p w14:paraId="2A40E761"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Digital payments facilitated formal integration for 31% of informal workers </w:t>
            </w:r>
          </w:p>
        </w:tc>
        <w:tc>
          <w:tcPr>
            <w:tcW w:w="1810" w:type="dxa"/>
          </w:tcPr>
          <w:p w14:paraId="16F92F82"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Innovative design but potential sample bias </w:t>
            </w:r>
          </w:p>
        </w:tc>
      </w:tr>
      <w:tr w:rsidR="00D642E8" w:rsidRPr="00E004F5" w14:paraId="4001C465" w14:textId="77777777" w:rsidTr="006F7EDE">
        <w:tc>
          <w:tcPr>
            <w:tcW w:w="525" w:type="dxa"/>
          </w:tcPr>
          <w:p w14:paraId="52EADB3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7 </w:t>
            </w:r>
          </w:p>
        </w:tc>
        <w:tc>
          <w:tcPr>
            <w:tcW w:w="1663" w:type="dxa"/>
          </w:tcPr>
          <w:p w14:paraId="16E78F57"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Perera &amp; Fernando (2019) </w:t>
            </w:r>
          </w:p>
        </w:tc>
        <w:tc>
          <w:tcPr>
            <w:tcW w:w="1677" w:type="dxa"/>
          </w:tcPr>
          <w:p w14:paraId="4C72BA59"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Telecommunications-led financial inclusion </w:t>
            </w:r>
          </w:p>
        </w:tc>
        <w:tc>
          <w:tcPr>
            <w:tcW w:w="1757" w:type="dxa"/>
          </w:tcPr>
          <w:p w14:paraId="6863B595"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Lankan telecom data </w:t>
            </w:r>
          </w:p>
        </w:tc>
        <w:tc>
          <w:tcPr>
            <w:tcW w:w="1584" w:type="dxa"/>
          </w:tcPr>
          <w:p w14:paraId="5439F962"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Telecom systems reached 2.3 million unbanked customers in 18 months </w:t>
            </w:r>
          </w:p>
        </w:tc>
        <w:tc>
          <w:tcPr>
            <w:tcW w:w="1810" w:type="dxa"/>
          </w:tcPr>
          <w:p w14:paraId="4F20FFCA"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Impressive reach but insufficient usage analysis </w:t>
            </w:r>
          </w:p>
        </w:tc>
      </w:tr>
      <w:tr w:rsidR="00D642E8" w:rsidRPr="00E004F5" w14:paraId="634B49DA" w14:textId="77777777" w:rsidTr="006F7EDE">
        <w:tc>
          <w:tcPr>
            <w:tcW w:w="525" w:type="dxa"/>
          </w:tcPr>
          <w:p w14:paraId="1ED832A1"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8 </w:t>
            </w:r>
          </w:p>
        </w:tc>
        <w:tc>
          <w:tcPr>
            <w:tcW w:w="1663" w:type="dxa"/>
          </w:tcPr>
          <w:p w14:paraId="671B1F74"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w:t>
            </w:r>
            <w:proofErr w:type="spellStart"/>
            <w:r w:rsidRPr="00E004F5">
              <w:rPr>
                <w:rFonts w:ascii="Times New Roman" w:hAnsi="Times New Roman" w:cs="Times New Roman"/>
                <w:sz w:val="24"/>
                <w:szCs w:val="24"/>
              </w:rPr>
              <w:t>Gomber</w:t>
            </w:r>
            <w:proofErr w:type="spellEnd"/>
            <w:r w:rsidRPr="00E004F5">
              <w:rPr>
                <w:rFonts w:ascii="Times New Roman" w:hAnsi="Times New Roman" w:cs="Times New Roman"/>
                <w:sz w:val="24"/>
                <w:szCs w:val="24"/>
              </w:rPr>
              <w:t xml:space="preserve"> et al. (2017) </w:t>
            </w:r>
          </w:p>
        </w:tc>
        <w:tc>
          <w:tcPr>
            <w:tcW w:w="1677" w:type="dxa"/>
          </w:tcPr>
          <w:p w14:paraId="1692A499"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Digital finance and FinTech research </w:t>
            </w:r>
          </w:p>
        </w:tc>
        <w:tc>
          <w:tcPr>
            <w:tcW w:w="1757" w:type="dxa"/>
          </w:tcPr>
          <w:p w14:paraId="12C133F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International </w:t>
            </w:r>
            <w:r w:rsidRPr="00E004F5">
              <w:rPr>
                <w:rFonts w:ascii="Times New Roman" w:hAnsi="Times New Roman" w:cs="Times New Roman"/>
                <w:sz w:val="24"/>
                <w:szCs w:val="24"/>
              </w:rPr>
              <w:lastRenderedPageBreak/>
              <w:t xml:space="preserve">ecosystem review </w:t>
            </w:r>
          </w:p>
        </w:tc>
        <w:tc>
          <w:tcPr>
            <w:tcW w:w="1584" w:type="dxa"/>
          </w:tcPr>
          <w:p w14:paraId="18F2341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lastRenderedPageBreak/>
              <w:t xml:space="preserve"> Platform models demonstrated </w:t>
            </w:r>
            <w:r w:rsidRPr="00E004F5">
              <w:rPr>
                <w:rFonts w:ascii="Times New Roman" w:hAnsi="Times New Roman" w:cs="Times New Roman"/>
                <w:sz w:val="24"/>
                <w:szCs w:val="24"/>
              </w:rPr>
              <w:lastRenderedPageBreak/>
              <w:t xml:space="preserve">strong network effects and scalability </w:t>
            </w:r>
          </w:p>
        </w:tc>
        <w:tc>
          <w:tcPr>
            <w:tcW w:w="1810" w:type="dxa"/>
          </w:tcPr>
          <w:p w14:paraId="1EC4144B"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lastRenderedPageBreak/>
              <w:t xml:space="preserve"> Strong theoretical foundation but </w:t>
            </w:r>
            <w:r w:rsidRPr="00E004F5">
              <w:rPr>
                <w:rFonts w:ascii="Times New Roman" w:hAnsi="Times New Roman" w:cs="Times New Roman"/>
                <w:sz w:val="24"/>
                <w:szCs w:val="24"/>
              </w:rPr>
              <w:lastRenderedPageBreak/>
              <w:t xml:space="preserve">limited developing market validation </w:t>
            </w:r>
          </w:p>
        </w:tc>
      </w:tr>
      <w:tr w:rsidR="00D642E8" w:rsidRPr="00E004F5" w14:paraId="612513E5" w14:textId="77777777" w:rsidTr="006F7EDE">
        <w:tc>
          <w:tcPr>
            <w:tcW w:w="525" w:type="dxa"/>
          </w:tcPr>
          <w:p w14:paraId="5A5D0A68"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lastRenderedPageBreak/>
              <w:t xml:space="preserve"> 9 </w:t>
            </w:r>
          </w:p>
        </w:tc>
        <w:tc>
          <w:tcPr>
            <w:tcW w:w="1663" w:type="dxa"/>
          </w:tcPr>
          <w:p w14:paraId="3E652C4C"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w:t>
            </w:r>
            <w:proofErr w:type="spellStart"/>
            <w:r w:rsidRPr="00E004F5">
              <w:rPr>
                <w:rFonts w:ascii="Times New Roman" w:hAnsi="Times New Roman" w:cs="Times New Roman"/>
                <w:sz w:val="24"/>
                <w:szCs w:val="24"/>
              </w:rPr>
              <w:t>Gunasekara</w:t>
            </w:r>
            <w:proofErr w:type="spellEnd"/>
            <w:r w:rsidRPr="00E004F5">
              <w:rPr>
                <w:rFonts w:ascii="Times New Roman" w:hAnsi="Times New Roman" w:cs="Times New Roman"/>
                <w:sz w:val="24"/>
                <w:szCs w:val="24"/>
              </w:rPr>
              <w:t xml:space="preserve"> et al. (2021) </w:t>
            </w:r>
          </w:p>
        </w:tc>
        <w:tc>
          <w:tcPr>
            <w:tcW w:w="1677" w:type="dxa"/>
          </w:tcPr>
          <w:p w14:paraId="4A612465"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Cybersecurity challenges </w:t>
            </w:r>
          </w:p>
        </w:tc>
        <w:tc>
          <w:tcPr>
            <w:tcW w:w="1757" w:type="dxa"/>
          </w:tcPr>
          <w:p w14:paraId="0BBE06CB"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Lankan security incidents </w:t>
            </w:r>
          </w:p>
        </w:tc>
        <w:tc>
          <w:tcPr>
            <w:tcW w:w="1584" w:type="dxa"/>
          </w:tcPr>
          <w:p w14:paraId="141753E5"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Digital fraud increased 156% between 2018-2020; oversight insufficient </w:t>
            </w:r>
          </w:p>
        </w:tc>
        <w:tc>
          <w:tcPr>
            <w:tcW w:w="1810" w:type="dxa"/>
          </w:tcPr>
          <w:p w14:paraId="5DFA29D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Critical security focus but generic recommendations </w:t>
            </w:r>
          </w:p>
        </w:tc>
      </w:tr>
      <w:tr w:rsidR="00D642E8" w:rsidRPr="00E004F5" w14:paraId="37F5F7D2" w14:textId="77777777" w:rsidTr="006F7EDE">
        <w:tc>
          <w:tcPr>
            <w:tcW w:w="525" w:type="dxa"/>
          </w:tcPr>
          <w:p w14:paraId="667927C2"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10 </w:t>
            </w:r>
          </w:p>
        </w:tc>
        <w:tc>
          <w:tcPr>
            <w:tcW w:w="1663" w:type="dxa"/>
          </w:tcPr>
          <w:p w14:paraId="50F72913"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Silva &amp; Rodrigo (2020) </w:t>
            </w:r>
          </w:p>
        </w:tc>
        <w:tc>
          <w:tcPr>
            <w:tcW w:w="1677" w:type="dxa"/>
          </w:tcPr>
          <w:p w14:paraId="34EF9173"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Remittance digitization </w:t>
            </w:r>
          </w:p>
        </w:tc>
        <w:tc>
          <w:tcPr>
            <w:tcW w:w="1757" w:type="dxa"/>
          </w:tcPr>
          <w:p w14:paraId="65ABB08F"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Lankan migrant remittances </w:t>
            </w:r>
          </w:p>
        </w:tc>
        <w:tc>
          <w:tcPr>
            <w:tcW w:w="1584" w:type="dxa"/>
          </w:tcPr>
          <w:p w14:paraId="06A1383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Digital channels reduced costs by 5.8% and increased transfer frequency </w:t>
            </w:r>
          </w:p>
        </w:tc>
        <w:tc>
          <w:tcPr>
            <w:tcW w:w="1810" w:type="dxa"/>
          </w:tcPr>
          <w:p w14:paraId="71F75147"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Important migration-finance linkage but limited recipient analysis </w:t>
            </w:r>
          </w:p>
        </w:tc>
      </w:tr>
      <w:tr w:rsidR="00D642E8" w:rsidRPr="00E004F5" w14:paraId="3AA1BC0E" w14:textId="77777777" w:rsidTr="006F7EDE">
        <w:tc>
          <w:tcPr>
            <w:tcW w:w="525" w:type="dxa"/>
          </w:tcPr>
          <w:p w14:paraId="723103D6"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11 </w:t>
            </w:r>
          </w:p>
        </w:tc>
        <w:tc>
          <w:tcPr>
            <w:tcW w:w="1663" w:type="dxa"/>
          </w:tcPr>
          <w:p w14:paraId="5D6D0CB2"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w:t>
            </w:r>
            <w:proofErr w:type="spellStart"/>
            <w:r w:rsidRPr="00E004F5">
              <w:rPr>
                <w:rFonts w:ascii="Times New Roman" w:hAnsi="Times New Roman" w:cs="Times New Roman"/>
                <w:sz w:val="24"/>
                <w:szCs w:val="24"/>
              </w:rPr>
              <w:t>Arner</w:t>
            </w:r>
            <w:proofErr w:type="spellEnd"/>
            <w:r w:rsidRPr="00E004F5">
              <w:rPr>
                <w:rFonts w:ascii="Times New Roman" w:hAnsi="Times New Roman" w:cs="Times New Roman"/>
                <w:sz w:val="24"/>
                <w:szCs w:val="24"/>
              </w:rPr>
              <w:t xml:space="preserve"> et al. (2016) </w:t>
            </w:r>
          </w:p>
        </w:tc>
        <w:tc>
          <w:tcPr>
            <w:tcW w:w="1677" w:type="dxa"/>
          </w:tcPr>
          <w:p w14:paraId="3B8CEE7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Evolution of FinTech </w:t>
            </w:r>
          </w:p>
        </w:tc>
        <w:tc>
          <w:tcPr>
            <w:tcW w:w="1757" w:type="dxa"/>
          </w:tcPr>
          <w:p w14:paraId="28A62BD8"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Global FinTech analysis </w:t>
            </w:r>
          </w:p>
        </w:tc>
        <w:tc>
          <w:tcPr>
            <w:tcW w:w="1584" w:type="dxa"/>
          </w:tcPr>
          <w:p w14:paraId="09ECCFAB"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FinTech development follows distinct phases shaped by technology and regulation </w:t>
            </w:r>
          </w:p>
        </w:tc>
        <w:tc>
          <w:tcPr>
            <w:tcW w:w="1810" w:type="dxa"/>
          </w:tcPr>
          <w:p w14:paraId="5CE7909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Comprehensive historical perspective providing useful framework </w:t>
            </w:r>
          </w:p>
        </w:tc>
      </w:tr>
      <w:tr w:rsidR="00D642E8" w:rsidRPr="00E004F5" w14:paraId="2FABE5C2" w14:textId="77777777" w:rsidTr="006F7EDE">
        <w:tc>
          <w:tcPr>
            <w:tcW w:w="525" w:type="dxa"/>
          </w:tcPr>
          <w:p w14:paraId="69B83375"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12 </w:t>
            </w:r>
          </w:p>
        </w:tc>
        <w:tc>
          <w:tcPr>
            <w:tcW w:w="1663" w:type="dxa"/>
          </w:tcPr>
          <w:p w14:paraId="5A9B0F8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Wickremasinghe &amp; De Silva (2023) </w:t>
            </w:r>
          </w:p>
        </w:tc>
        <w:tc>
          <w:tcPr>
            <w:tcW w:w="1677" w:type="dxa"/>
          </w:tcPr>
          <w:p w14:paraId="09B0A4B0"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Central bank digital currency </w:t>
            </w:r>
          </w:p>
        </w:tc>
        <w:tc>
          <w:tcPr>
            <w:tcW w:w="1757" w:type="dxa"/>
          </w:tcPr>
          <w:p w14:paraId="58AAAF34"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Sri Lankan policy analysis </w:t>
            </w:r>
          </w:p>
        </w:tc>
        <w:tc>
          <w:tcPr>
            <w:tcW w:w="1584" w:type="dxa"/>
          </w:tcPr>
          <w:p w14:paraId="271051BB"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CBDC could address interoperability but requires infrastructure investment </w:t>
            </w:r>
          </w:p>
        </w:tc>
        <w:tc>
          <w:tcPr>
            <w:tcW w:w="1810" w:type="dxa"/>
          </w:tcPr>
          <w:p w14:paraId="381C45BB"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Forward-looking but understated implementation challenges </w:t>
            </w:r>
          </w:p>
        </w:tc>
      </w:tr>
      <w:tr w:rsidR="00D642E8" w:rsidRPr="00E004F5" w14:paraId="3B291E6B" w14:textId="77777777" w:rsidTr="006F7EDE">
        <w:tc>
          <w:tcPr>
            <w:tcW w:w="525" w:type="dxa"/>
          </w:tcPr>
          <w:p w14:paraId="709A209C"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13 </w:t>
            </w:r>
          </w:p>
        </w:tc>
        <w:tc>
          <w:tcPr>
            <w:tcW w:w="1663" w:type="dxa"/>
          </w:tcPr>
          <w:p w14:paraId="63E1F868"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Kim et al. (2016) </w:t>
            </w:r>
          </w:p>
        </w:tc>
        <w:tc>
          <w:tcPr>
            <w:tcW w:w="1677" w:type="dxa"/>
          </w:tcPr>
          <w:p w14:paraId="6F0391CF"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Mobile payment adoption </w:t>
            </w:r>
          </w:p>
        </w:tc>
        <w:tc>
          <w:tcPr>
            <w:tcW w:w="1757" w:type="dxa"/>
          </w:tcPr>
          <w:p w14:paraId="76FD9ED8"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 Multi-country </w:t>
            </w:r>
            <w:r w:rsidRPr="00E004F5">
              <w:rPr>
                <w:rFonts w:ascii="Times New Roman" w:hAnsi="Times New Roman" w:cs="Times New Roman"/>
                <w:sz w:val="24"/>
                <w:szCs w:val="24"/>
              </w:rPr>
              <w:lastRenderedPageBreak/>
              <w:t xml:space="preserve">adoption study </w:t>
            </w:r>
          </w:p>
        </w:tc>
        <w:tc>
          <w:tcPr>
            <w:tcW w:w="1584" w:type="dxa"/>
          </w:tcPr>
          <w:p w14:paraId="7AC3ACFE"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lastRenderedPageBreak/>
              <w:t xml:space="preserve"> Perceived usefulness and </w:t>
            </w:r>
            <w:r w:rsidRPr="00E004F5">
              <w:rPr>
                <w:rFonts w:ascii="Times New Roman" w:hAnsi="Times New Roman" w:cs="Times New Roman"/>
                <w:sz w:val="24"/>
                <w:szCs w:val="24"/>
              </w:rPr>
              <w:lastRenderedPageBreak/>
              <w:t xml:space="preserve">trust significantly influenced adoption decisions </w:t>
            </w:r>
          </w:p>
        </w:tc>
        <w:tc>
          <w:tcPr>
            <w:tcW w:w="1810" w:type="dxa"/>
          </w:tcPr>
          <w:p w14:paraId="3FD07519" w14:textId="77777777" w:rsidR="00D642E8" w:rsidRPr="00E004F5" w:rsidRDefault="00D642E8"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lastRenderedPageBreak/>
              <w:t xml:space="preserve"> Strong theoretical </w:t>
            </w:r>
            <w:r w:rsidRPr="00E004F5">
              <w:rPr>
                <w:rFonts w:ascii="Times New Roman" w:hAnsi="Times New Roman" w:cs="Times New Roman"/>
                <w:sz w:val="24"/>
                <w:szCs w:val="24"/>
              </w:rPr>
              <w:lastRenderedPageBreak/>
              <w:t xml:space="preserve">grounding but limited infrastructure consideration </w:t>
            </w:r>
          </w:p>
        </w:tc>
      </w:tr>
    </w:tbl>
    <w:p w14:paraId="6A7546BD" w14:textId="77777777" w:rsidR="00972A79" w:rsidRPr="00E004F5" w:rsidRDefault="00972A79" w:rsidP="00E004F5">
      <w:pPr>
        <w:spacing w:line="360" w:lineRule="auto"/>
        <w:jc w:val="both"/>
        <w:rPr>
          <w:rFonts w:ascii="Times New Roman" w:hAnsi="Times New Roman" w:cs="Times New Roman"/>
          <w:sz w:val="24"/>
          <w:szCs w:val="24"/>
        </w:rPr>
      </w:pPr>
    </w:p>
    <w:p w14:paraId="7E9D8148" w14:textId="26717B3C" w:rsidR="00972A79" w:rsidRPr="00E004F5" w:rsidRDefault="00972A79" w:rsidP="00E004F5">
      <w:pPr>
        <w:pStyle w:val="Heading2"/>
      </w:pPr>
      <w:bookmarkStart w:id="4" w:name="_Toc216467904"/>
      <w:r w:rsidRPr="00E004F5">
        <w:t>3.2 Findings and Discussions</w:t>
      </w:r>
      <w:bookmarkEnd w:id="4"/>
    </w:p>
    <w:p w14:paraId="6DD5ACD1" w14:textId="17714EBA" w:rsidR="00972A79" w:rsidRPr="00E004F5" w:rsidRDefault="00972A79"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The literature review indicates the presence of three interrelated issues that define digital payment transformation in </w:t>
      </w:r>
      <w:proofErr w:type="gramStart"/>
      <w:r w:rsidRPr="00E004F5">
        <w:rPr>
          <w:rFonts w:ascii="Times New Roman" w:hAnsi="Times New Roman" w:cs="Times New Roman"/>
          <w:sz w:val="24"/>
          <w:szCs w:val="24"/>
        </w:rPr>
        <w:t>South Asian island</w:t>
      </w:r>
      <w:proofErr w:type="gramEnd"/>
      <w:r w:rsidRPr="00E004F5">
        <w:rPr>
          <w:rFonts w:ascii="Times New Roman" w:hAnsi="Times New Roman" w:cs="Times New Roman"/>
          <w:sz w:val="24"/>
          <w:szCs w:val="24"/>
        </w:rPr>
        <w:t xml:space="preserve"> economies. The initial theme is on financial inclusion outcomes in which empirical studies have shown that digital payment systems have significantly increased access to formal financial services. Seneviratne and Perera (2020) recorded that the use of mobile money has enhanced the accessibility of financial services by 34 percent of rural populations, whereas Perera and Fernando (2019) demonstrated that the payment systems led by telecommunications have reached 2.3 million unbanked customers in eighteen months. These results correspond to global studies carried by </w:t>
      </w:r>
      <w:proofErr w:type="spellStart"/>
      <w:r w:rsidRPr="00E004F5">
        <w:rPr>
          <w:rFonts w:ascii="Times New Roman" w:hAnsi="Times New Roman" w:cs="Times New Roman"/>
          <w:sz w:val="24"/>
          <w:szCs w:val="24"/>
        </w:rPr>
        <w:t>Ozili</w:t>
      </w:r>
      <w:proofErr w:type="spellEnd"/>
      <w:r w:rsidRPr="00E004F5">
        <w:rPr>
          <w:rFonts w:ascii="Times New Roman" w:hAnsi="Times New Roman" w:cs="Times New Roman"/>
          <w:sz w:val="24"/>
          <w:szCs w:val="24"/>
        </w:rPr>
        <w:t xml:space="preserve"> (2018) who determined that digital finance increased financial accessibility in the developing economies of the world. Nonetheless, Dissanayake and </w:t>
      </w:r>
      <w:proofErr w:type="spellStart"/>
      <w:r w:rsidRPr="00E004F5">
        <w:rPr>
          <w:rFonts w:ascii="Times New Roman" w:hAnsi="Times New Roman" w:cs="Times New Roman"/>
          <w:sz w:val="24"/>
          <w:szCs w:val="24"/>
        </w:rPr>
        <w:t>Wickramasinghe</w:t>
      </w:r>
      <w:proofErr w:type="spellEnd"/>
      <w:r w:rsidRPr="00E004F5">
        <w:rPr>
          <w:rFonts w:ascii="Times New Roman" w:hAnsi="Times New Roman" w:cs="Times New Roman"/>
          <w:sz w:val="24"/>
          <w:szCs w:val="24"/>
        </w:rPr>
        <w:t xml:space="preserve"> (2018) have shown that adoption patterns were highly mediated by financial literacy, which can imply that digital systems have the potential to establish new mechanisms of exclusion not depending on geographic access to banking facilities but on educational levels. </w:t>
      </w:r>
      <w:r w:rsidR="00BD12F7" w:rsidRPr="00A67CD5">
        <w:rPr>
          <w:rFonts w:ascii="Times New Roman" w:hAnsi="Times New Roman" w:cs="Times New Roman"/>
          <w:sz w:val="24"/>
          <w:szCs w:val="24"/>
        </w:rPr>
        <w:t xml:space="preserve">This paradox shows a latent tension in the digital financial inclusion programs such that technological interventions to solve the physical access issues also introduce the capability-based issues that disproportionately affect the population with low education or exposure to digital devices. The implication does not only apply to the individual adoption decisions but has a broader implication on the distributional impacts of the digital transformation and whether the technology-based financial inclusion is actually benefiting the marginalized groups or it is simply benefiting the people who already have the human capital benefits. The second thematic cluster is competitive disruption and organization responses in the financial services </w:t>
      </w:r>
      <w:proofErr w:type="spellStart"/>
      <w:proofErr w:type="gramStart"/>
      <w:r w:rsidR="00BD12F7" w:rsidRPr="00A67CD5">
        <w:rPr>
          <w:rFonts w:ascii="Times New Roman" w:hAnsi="Times New Roman" w:cs="Times New Roman"/>
          <w:sz w:val="24"/>
          <w:szCs w:val="24"/>
        </w:rPr>
        <w:t>industry.</w:t>
      </w:r>
      <w:r w:rsidRPr="00E004F5">
        <w:rPr>
          <w:rFonts w:ascii="Times New Roman" w:hAnsi="Times New Roman" w:cs="Times New Roman"/>
          <w:sz w:val="24"/>
          <w:szCs w:val="24"/>
        </w:rPr>
        <w:t>Fernando</w:t>
      </w:r>
      <w:proofErr w:type="spellEnd"/>
      <w:proofErr w:type="gramEnd"/>
      <w:r w:rsidRPr="00E004F5">
        <w:rPr>
          <w:rFonts w:ascii="Times New Roman" w:hAnsi="Times New Roman" w:cs="Times New Roman"/>
          <w:sz w:val="24"/>
          <w:szCs w:val="24"/>
        </w:rPr>
        <w:t xml:space="preserve"> et al. (2019) determined that conventional commercial banks that proactively invested in digital infrastructure lost market share, whereas those that lagged on transformation loss of customers to FinTech competitors was about 18%. This observation complies with the disruptive innovation theory and is also backed by global studies performed by </w:t>
      </w:r>
      <w:proofErr w:type="spellStart"/>
      <w:r w:rsidRPr="00E004F5">
        <w:rPr>
          <w:rFonts w:ascii="Times New Roman" w:hAnsi="Times New Roman" w:cs="Times New Roman"/>
          <w:sz w:val="24"/>
          <w:szCs w:val="24"/>
        </w:rPr>
        <w:t>Gomber</w:t>
      </w:r>
      <w:proofErr w:type="spellEnd"/>
      <w:r w:rsidRPr="00E004F5">
        <w:rPr>
          <w:rFonts w:ascii="Times New Roman" w:hAnsi="Times New Roman" w:cs="Times New Roman"/>
          <w:sz w:val="24"/>
          <w:szCs w:val="24"/>
        </w:rPr>
        <w:t xml:space="preserve"> et al. (2017), who established that platform business models had </w:t>
      </w:r>
      <w:r w:rsidRPr="00E004F5">
        <w:rPr>
          <w:rFonts w:ascii="Times New Roman" w:hAnsi="Times New Roman" w:cs="Times New Roman"/>
          <w:sz w:val="24"/>
          <w:szCs w:val="24"/>
        </w:rPr>
        <w:lastRenderedPageBreak/>
        <w:t xml:space="preserve">high network effects. </w:t>
      </w:r>
      <w:proofErr w:type="spellStart"/>
      <w:r w:rsidRPr="00E004F5">
        <w:rPr>
          <w:rFonts w:ascii="Times New Roman" w:hAnsi="Times New Roman" w:cs="Times New Roman"/>
          <w:sz w:val="24"/>
          <w:szCs w:val="24"/>
        </w:rPr>
        <w:t>Arner</w:t>
      </w:r>
      <w:proofErr w:type="spellEnd"/>
      <w:r w:rsidRPr="00E004F5">
        <w:rPr>
          <w:rFonts w:ascii="Times New Roman" w:hAnsi="Times New Roman" w:cs="Times New Roman"/>
          <w:sz w:val="24"/>
          <w:szCs w:val="24"/>
        </w:rPr>
        <w:t xml:space="preserve"> et al. (2016) placed these competitive forces in context of the overall FinTech development and claimed that this digital payment transformation is a paradigm shift, not incremental innovation. The third thematic area deals with regulatory and infrastructural issues. According to Jayawardena and Silva (2021), regulatory fragmentation is a major impediment to payment system interoperability, and consumer protection frameworks are always lagging behind the rate of innovation. The real effects of this regulatory vacuum can be seen in the fact that, according to the study of </w:t>
      </w:r>
      <w:proofErr w:type="spellStart"/>
      <w:r w:rsidRPr="00E004F5">
        <w:rPr>
          <w:rFonts w:ascii="Times New Roman" w:hAnsi="Times New Roman" w:cs="Times New Roman"/>
          <w:sz w:val="24"/>
          <w:szCs w:val="24"/>
        </w:rPr>
        <w:t>Gunasekara</w:t>
      </w:r>
      <w:proofErr w:type="spellEnd"/>
      <w:r w:rsidRPr="00E004F5">
        <w:rPr>
          <w:rFonts w:ascii="Times New Roman" w:hAnsi="Times New Roman" w:cs="Times New Roman"/>
          <w:sz w:val="24"/>
          <w:szCs w:val="24"/>
        </w:rPr>
        <w:t xml:space="preserve"> et al. (2021), the number of digital payment frauds had risen by 156% in 2018-2020. This result was confirmed by Kim et al. (2016), who conducted a multi-country analysis and showed that the issue of trust was a major factor of adoption. A number of inconsistencies and loopholes are created by the synthesized literature. Although several studies present impressive rates of adoption, there are less studies that look at long-term usage rate and real intensity of financial service usage. Geographic concentration is a characteristic feature of the literature, where empirical studies are based on urban settings, even though the financial inclusion narrative </w:t>
      </w:r>
      <w:proofErr w:type="spellStart"/>
      <w:r w:rsidRPr="00E004F5">
        <w:rPr>
          <w:rFonts w:ascii="Times New Roman" w:hAnsi="Times New Roman" w:cs="Times New Roman"/>
          <w:sz w:val="24"/>
          <w:szCs w:val="24"/>
        </w:rPr>
        <w:t>centers</w:t>
      </w:r>
      <w:proofErr w:type="spellEnd"/>
      <w:r w:rsidRPr="00E004F5">
        <w:rPr>
          <w:rFonts w:ascii="Times New Roman" w:hAnsi="Times New Roman" w:cs="Times New Roman"/>
          <w:sz w:val="24"/>
          <w:szCs w:val="24"/>
        </w:rPr>
        <w:t xml:space="preserve"> on rural people.</w:t>
      </w:r>
    </w:p>
    <w:p w14:paraId="5FC411F9" w14:textId="6A916BBC" w:rsidR="00972A79" w:rsidRPr="00E004F5" w:rsidRDefault="00972A79" w:rsidP="00E004F5">
      <w:pPr>
        <w:pStyle w:val="Heading2"/>
      </w:pPr>
      <w:bookmarkStart w:id="5" w:name="_Toc216467905"/>
      <w:r w:rsidRPr="00E004F5">
        <w:t>3.3 Theoretical Understanding</w:t>
      </w:r>
      <w:bookmarkEnd w:id="5"/>
    </w:p>
    <w:p w14:paraId="32BBBDE0" w14:textId="48BD822D" w:rsidR="00E004F5" w:rsidRDefault="00972A79"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The literature reviewed has used a number of theoretical frameworks in order to conceptualize digital payment transformation. The Disruptive Innovation Theory, used by Fernando et al. (2019) and backed by other researchers such as </w:t>
      </w:r>
      <w:proofErr w:type="spellStart"/>
      <w:r w:rsidRPr="00E004F5">
        <w:rPr>
          <w:rFonts w:ascii="Times New Roman" w:hAnsi="Times New Roman" w:cs="Times New Roman"/>
          <w:sz w:val="24"/>
          <w:szCs w:val="24"/>
        </w:rPr>
        <w:t>Arner</w:t>
      </w:r>
      <w:proofErr w:type="spellEnd"/>
      <w:r w:rsidRPr="00E004F5">
        <w:rPr>
          <w:rFonts w:ascii="Times New Roman" w:hAnsi="Times New Roman" w:cs="Times New Roman"/>
          <w:sz w:val="24"/>
          <w:szCs w:val="24"/>
        </w:rPr>
        <w:t xml:space="preserve"> et al. (2016) offers explanatory value on how mobile payment platforms innovate the established banking institutions by initially catering to the ignored customer groups with less complex solutions. This model is useful in explaining competitive dynamics, but is not very insightful in understanding more socioeconomic implications than market structure changes. Technology Acceptance Model, which was applied in the study by Kim et al. (2016) and Dissanayake and </w:t>
      </w:r>
      <w:proofErr w:type="spellStart"/>
      <w:r w:rsidRPr="00E004F5">
        <w:rPr>
          <w:rFonts w:ascii="Times New Roman" w:hAnsi="Times New Roman" w:cs="Times New Roman"/>
          <w:sz w:val="24"/>
          <w:szCs w:val="24"/>
        </w:rPr>
        <w:t>Wickramasinghe</w:t>
      </w:r>
      <w:proofErr w:type="spellEnd"/>
      <w:r w:rsidRPr="00E004F5">
        <w:rPr>
          <w:rFonts w:ascii="Times New Roman" w:hAnsi="Times New Roman" w:cs="Times New Roman"/>
          <w:sz w:val="24"/>
          <w:szCs w:val="24"/>
        </w:rPr>
        <w:t xml:space="preserve"> (2018), is the model that reviews the patterns of adoption through the perceived usefulness, ease of use, and trust. </w:t>
      </w:r>
      <w:r w:rsidR="00A53ADF" w:rsidRPr="00A67CD5">
        <w:rPr>
          <w:rFonts w:ascii="Times New Roman" w:hAnsi="Times New Roman" w:cs="Times New Roman"/>
          <w:sz w:val="24"/>
          <w:szCs w:val="24"/>
        </w:rPr>
        <w:t xml:space="preserve">This approach acknowledges that digital payments will not be adopted based on the presence of technology but the perceptions and abilities of the users. </w:t>
      </w:r>
      <w:proofErr w:type="spellStart"/>
      <w:r w:rsidR="00A53ADF" w:rsidRPr="00A67CD5">
        <w:rPr>
          <w:rFonts w:ascii="Times New Roman" w:hAnsi="Times New Roman" w:cs="Times New Roman"/>
          <w:sz w:val="24"/>
          <w:szCs w:val="24"/>
        </w:rPr>
        <w:t>Gomber</w:t>
      </w:r>
      <w:proofErr w:type="spellEnd"/>
      <w:r w:rsidR="00A53ADF" w:rsidRPr="00A67CD5">
        <w:rPr>
          <w:rFonts w:ascii="Times New Roman" w:hAnsi="Times New Roman" w:cs="Times New Roman"/>
          <w:sz w:val="24"/>
          <w:szCs w:val="24"/>
        </w:rPr>
        <w:t xml:space="preserve"> et al. (2017) </w:t>
      </w:r>
      <w:proofErr w:type="gramStart"/>
      <w:r w:rsidR="00A53ADF" w:rsidRPr="00A67CD5">
        <w:rPr>
          <w:rFonts w:ascii="Times New Roman" w:hAnsi="Times New Roman" w:cs="Times New Roman"/>
          <w:sz w:val="24"/>
          <w:szCs w:val="24"/>
        </w:rPr>
        <w:t>use</w:t>
      </w:r>
      <w:proofErr w:type="gramEnd"/>
      <w:r w:rsidR="00A53ADF" w:rsidRPr="00A67CD5">
        <w:rPr>
          <w:rFonts w:ascii="Times New Roman" w:hAnsi="Times New Roman" w:cs="Times New Roman"/>
          <w:sz w:val="24"/>
          <w:szCs w:val="24"/>
        </w:rPr>
        <w:t xml:space="preserve"> the Platform Ecosystem Theory of digital payment systems in their study, which considers them as multi-sided platforms, which create value through network effects. This theoretical approach can be applicable in illuminating the existence of multiple competitive dynamics in </w:t>
      </w:r>
      <w:proofErr w:type="gramStart"/>
      <w:r w:rsidR="00A53ADF" w:rsidRPr="00A67CD5">
        <w:rPr>
          <w:rFonts w:ascii="Times New Roman" w:hAnsi="Times New Roman" w:cs="Times New Roman"/>
          <w:sz w:val="24"/>
          <w:szCs w:val="24"/>
        </w:rPr>
        <w:t>platform based</w:t>
      </w:r>
      <w:proofErr w:type="gramEnd"/>
      <w:r w:rsidR="00A53ADF" w:rsidRPr="00A67CD5">
        <w:rPr>
          <w:rFonts w:ascii="Times New Roman" w:hAnsi="Times New Roman" w:cs="Times New Roman"/>
          <w:sz w:val="24"/>
          <w:szCs w:val="24"/>
        </w:rPr>
        <w:t xml:space="preserve"> business models compared to the traditional linear value chains. The most popular explanation that has been used in explaining most of the literature reviewed is the Theory of Financial Inclusion, explaining that more access to formal financial services </w:t>
      </w:r>
      <w:r w:rsidR="00A53ADF" w:rsidRPr="00A67CD5">
        <w:rPr>
          <w:rFonts w:ascii="Times New Roman" w:hAnsi="Times New Roman" w:cs="Times New Roman"/>
          <w:sz w:val="24"/>
          <w:szCs w:val="24"/>
        </w:rPr>
        <w:lastRenderedPageBreak/>
        <w:t>will alleviate poverty and lead to economic development. However, the critical scholars note that the theory fails to address adequately the problem of asymmetry of powers in financial relations and distinction between access and meaningful use.</w:t>
      </w:r>
    </w:p>
    <w:p w14:paraId="6AAA6474" w14:textId="77777777" w:rsidR="00E004F5" w:rsidRDefault="00E004F5" w:rsidP="00E004F5">
      <w:pPr>
        <w:spacing w:line="360" w:lineRule="auto"/>
        <w:jc w:val="both"/>
        <w:rPr>
          <w:rFonts w:ascii="Times New Roman" w:hAnsi="Times New Roman" w:cs="Times New Roman"/>
          <w:sz w:val="24"/>
          <w:szCs w:val="24"/>
        </w:rPr>
      </w:pPr>
    </w:p>
    <w:p w14:paraId="0F5D92A3" w14:textId="77777777" w:rsidR="00E004F5" w:rsidRDefault="00E004F5" w:rsidP="00E004F5">
      <w:pPr>
        <w:spacing w:line="360" w:lineRule="auto"/>
        <w:jc w:val="both"/>
        <w:rPr>
          <w:rFonts w:ascii="Times New Roman" w:hAnsi="Times New Roman" w:cs="Times New Roman"/>
          <w:sz w:val="24"/>
          <w:szCs w:val="24"/>
        </w:rPr>
      </w:pPr>
    </w:p>
    <w:p w14:paraId="61AE016F" w14:textId="77777777" w:rsidR="00E004F5" w:rsidRDefault="00E004F5" w:rsidP="00E004F5">
      <w:pPr>
        <w:spacing w:line="360" w:lineRule="auto"/>
        <w:jc w:val="both"/>
        <w:rPr>
          <w:rFonts w:ascii="Times New Roman" w:hAnsi="Times New Roman" w:cs="Times New Roman"/>
          <w:sz w:val="24"/>
          <w:szCs w:val="24"/>
        </w:rPr>
      </w:pPr>
    </w:p>
    <w:p w14:paraId="6A873A12" w14:textId="77777777" w:rsidR="00E004F5" w:rsidRDefault="00E004F5" w:rsidP="00E004F5">
      <w:pPr>
        <w:spacing w:line="360" w:lineRule="auto"/>
        <w:jc w:val="both"/>
        <w:rPr>
          <w:rFonts w:ascii="Times New Roman" w:hAnsi="Times New Roman" w:cs="Times New Roman"/>
          <w:sz w:val="24"/>
          <w:szCs w:val="24"/>
        </w:rPr>
      </w:pPr>
    </w:p>
    <w:p w14:paraId="558AFB94" w14:textId="77777777" w:rsidR="00E004F5" w:rsidRDefault="00E004F5" w:rsidP="00E004F5">
      <w:pPr>
        <w:spacing w:line="360" w:lineRule="auto"/>
        <w:jc w:val="both"/>
        <w:rPr>
          <w:rFonts w:ascii="Times New Roman" w:hAnsi="Times New Roman" w:cs="Times New Roman"/>
          <w:sz w:val="24"/>
          <w:szCs w:val="24"/>
        </w:rPr>
      </w:pPr>
    </w:p>
    <w:p w14:paraId="5DD3CA0D" w14:textId="77777777" w:rsidR="00E004F5" w:rsidRDefault="00E004F5" w:rsidP="00E004F5">
      <w:pPr>
        <w:spacing w:line="360" w:lineRule="auto"/>
        <w:jc w:val="both"/>
        <w:rPr>
          <w:rFonts w:ascii="Times New Roman" w:hAnsi="Times New Roman" w:cs="Times New Roman"/>
          <w:sz w:val="24"/>
          <w:szCs w:val="24"/>
        </w:rPr>
      </w:pPr>
    </w:p>
    <w:p w14:paraId="57BF99AE" w14:textId="77777777" w:rsidR="00E004F5" w:rsidRDefault="00E004F5" w:rsidP="00E004F5">
      <w:pPr>
        <w:spacing w:line="360" w:lineRule="auto"/>
        <w:jc w:val="both"/>
        <w:rPr>
          <w:rFonts w:ascii="Times New Roman" w:hAnsi="Times New Roman" w:cs="Times New Roman"/>
          <w:sz w:val="24"/>
          <w:szCs w:val="24"/>
        </w:rPr>
      </w:pPr>
    </w:p>
    <w:p w14:paraId="6FBCB317" w14:textId="77777777" w:rsidR="00E004F5" w:rsidRDefault="00E004F5" w:rsidP="00E004F5">
      <w:pPr>
        <w:spacing w:line="360" w:lineRule="auto"/>
        <w:jc w:val="both"/>
        <w:rPr>
          <w:rFonts w:ascii="Times New Roman" w:hAnsi="Times New Roman" w:cs="Times New Roman"/>
          <w:sz w:val="24"/>
          <w:szCs w:val="24"/>
        </w:rPr>
      </w:pPr>
    </w:p>
    <w:p w14:paraId="2167D539" w14:textId="77777777" w:rsidR="00E004F5" w:rsidRDefault="00E004F5" w:rsidP="00E004F5">
      <w:pPr>
        <w:spacing w:line="360" w:lineRule="auto"/>
        <w:jc w:val="both"/>
        <w:rPr>
          <w:rFonts w:ascii="Times New Roman" w:hAnsi="Times New Roman" w:cs="Times New Roman"/>
          <w:sz w:val="24"/>
          <w:szCs w:val="24"/>
        </w:rPr>
      </w:pPr>
    </w:p>
    <w:p w14:paraId="56839544" w14:textId="77777777" w:rsidR="00E004F5" w:rsidRDefault="00E004F5" w:rsidP="00E004F5">
      <w:pPr>
        <w:spacing w:line="360" w:lineRule="auto"/>
        <w:jc w:val="both"/>
        <w:rPr>
          <w:rFonts w:ascii="Times New Roman" w:hAnsi="Times New Roman" w:cs="Times New Roman"/>
          <w:sz w:val="24"/>
          <w:szCs w:val="24"/>
        </w:rPr>
      </w:pPr>
    </w:p>
    <w:p w14:paraId="762D5584" w14:textId="77777777" w:rsidR="00E004F5" w:rsidRDefault="00E004F5" w:rsidP="00E004F5">
      <w:pPr>
        <w:spacing w:line="360" w:lineRule="auto"/>
        <w:jc w:val="both"/>
        <w:rPr>
          <w:rFonts w:ascii="Times New Roman" w:hAnsi="Times New Roman" w:cs="Times New Roman"/>
          <w:sz w:val="24"/>
          <w:szCs w:val="24"/>
        </w:rPr>
      </w:pPr>
    </w:p>
    <w:p w14:paraId="0CFFF079" w14:textId="77777777" w:rsidR="00E004F5" w:rsidRDefault="00E004F5" w:rsidP="00E004F5">
      <w:pPr>
        <w:spacing w:line="360" w:lineRule="auto"/>
        <w:jc w:val="both"/>
        <w:rPr>
          <w:rFonts w:ascii="Times New Roman" w:hAnsi="Times New Roman" w:cs="Times New Roman"/>
          <w:sz w:val="24"/>
          <w:szCs w:val="24"/>
        </w:rPr>
      </w:pPr>
    </w:p>
    <w:p w14:paraId="52530AD8" w14:textId="77777777" w:rsidR="00E004F5" w:rsidRDefault="00E004F5" w:rsidP="00E004F5">
      <w:pPr>
        <w:spacing w:line="360" w:lineRule="auto"/>
        <w:jc w:val="both"/>
        <w:rPr>
          <w:rFonts w:ascii="Times New Roman" w:hAnsi="Times New Roman" w:cs="Times New Roman"/>
          <w:sz w:val="24"/>
          <w:szCs w:val="24"/>
        </w:rPr>
      </w:pPr>
    </w:p>
    <w:p w14:paraId="3334DAA8" w14:textId="77777777" w:rsidR="00E004F5" w:rsidRDefault="00E004F5" w:rsidP="00E004F5">
      <w:pPr>
        <w:spacing w:line="360" w:lineRule="auto"/>
        <w:jc w:val="both"/>
        <w:rPr>
          <w:rFonts w:ascii="Times New Roman" w:hAnsi="Times New Roman" w:cs="Times New Roman"/>
          <w:sz w:val="24"/>
          <w:szCs w:val="24"/>
        </w:rPr>
      </w:pPr>
    </w:p>
    <w:p w14:paraId="25625950" w14:textId="77777777" w:rsidR="00E004F5" w:rsidRDefault="00E004F5" w:rsidP="00E004F5">
      <w:pPr>
        <w:spacing w:line="360" w:lineRule="auto"/>
        <w:jc w:val="both"/>
        <w:rPr>
          <w:rFonts w:ascii="Times New Roman" w:hAnsi="Times New Roman" w:cs="Times New Roman"/>
          <w:sz w:val="24"/>
          <w:szCs w:val="24"/>
        </w:rPr>
      </w:pPr>
    </w:p>
    <w:p w14:paraId="0A0B537B" w14:textId="77777777" w:rsidR="00E004F5" w:rsidRDefault="00E004F5" w:rsidP="00E004F5">
      <w:pPr>
        <w:spacing w:line="360" w:lineRule="auto"/>
        <w:jc w:val="both"/>
        <w:rPr>
          <w:rFonts w:ascii="Times New Roman" w:hAnsi="Times New Roman" w:cs="Times New Roman"/>
          <w:sz w:val="24"/>
          <w:szCs w:val="24"/>
        </w:rPr>
      </w:pPr>
    </w:p>
    <w:p w14:paraId="77298041" w14:textId="77777777" w:rsidR="00E004F5" w:rsidRDefault="00E004F5" w:rsidP="00E004F5">
      <w:pPr>
        <w:spacing w:line="360" w:lineRule="auto"/>
        <w:jc w:val="both"/>
        <w:rPr>
          <w:rFonts w:ascii="Times New Roman" w:hAnsi="Times New Roman" w:cs="Times New Roman"/>
          <w:sz w:val="24"/>
          <w:szCs w:val="24"/>
        </w:rPr>
      </w:pPr>
    </w:p>
    <w:p w14:paraId="397625D6" w14:textId="77777777" w:rsidR="00A53ADF" w:rsidRPr="00E004F5" w:rsidRDefault="00A53ADF" w:rsidP="00E004F5">
      <w:pPr>
        <w:spacing w:line="360" w:lineRule="auto"/>
        <w:jc w:val="both"/>
        <w:rPr>
          <w:rFonts w:ascii="Times New Roman" w:hAnsi="Times New Roman" w:cs="Times New Roman"/>
          <w:sz w:val="24"/>
          <w:szCs w:val="24"/>
        </w:rPr>
      </w:pPr>
    </w:p>
    <w:p w14:paraId="755B6B2E" w14:textId="2D3D5696" w:rsidR="00972A79" w:rsidRPr="00E004F5" w:rsidRDefault="00FC25C0" w:rsidP="00E004F5">
      <w:pPr>
        <w:pStyle w:val="Heading1"/>
      </w:pPr>
      <w:bookmarkStart w:id="6" w:name="_Toc216467906"/>
      <w:r w:rsidRPr="00E004F5">
        <w:lastRenderedPageBreak/>
        <w:t xml:space="preserve">4.  </w:t>
      </w:r>
      <w:r w:rsidR="00972A79" w:rsidRPr="00E004F5">
        <w:t>Conclusions and Recommendations.</w:t>
      </w:r>
      <w:bookmarkEnd w:id="6"/>
    </w:p>
    <w:p w14:paraId="017E6E51" w14:textId="77777777" w:rsidR="00A53ADF" w:rsidRPr="00A67CD5" w:rsidRDefault="00A53ADF" w:rsidP="00A53ADF">
      <w:pPr>
        <w:spacing w:line="360" w:lineRule="auto"/>
        <w:jc w:val="both"/>
        <w:rPr>
          <w:rFonts w:ascii="Times New Roman" w:hAnsi="Times New Roman" w:cs="Times New Roman"/>
          <w:sz w:val="24"/>
          <w:szCs w:val="24"/>
        </w:rPr>
      </w:pPr>
      <w:r w:rsidRPr="00A67CD5">
        <w:rPr>
          <w:rFonts w:ascii="Times New Roman" w:hAnsi="Times New Roman" w:cs="Times New Roman"/>
          <w:sz w:val="24"/>
          <w:szCs w:val="24"/>
        </w:rPr>
        <w:t>This literature review affirms that the digital payment change in South Asia island economies is a complicated phenomenon that is disruptive to business and offers potentials of greater financial inclusion. The evidence generated indicates that the generated impacts are impressive like increased access to financial services by previously underbanked, massive transaction costs, and radical transformations in the competitive forces. However, all these positive outcomes remain conditional by such problematic questions as digital illiteracy, regulatory framework deficiency, cybersecurity threats, and uncertainty regarding the sustainability of business models. There are three primary gaps of research that need to be considered academically. First, there is a paucity of longitudinal research studies on long term patterns of usage and reality of depth of financial services utilization in relation to more than simple payment transactions. Second, it would be beneficial to have some practical recommendations in comparative studies of the successful and unsuccessful implementation examples. Third, the research on the correlation between digitization of payments and overall use of financial services has to be empirically demonstrated. Within the managerial practice context, the findings suggest that the financial institutions should pursue proactive approaches of digital transformation. Development of digital infrastructure, user education programs, and cybersecurity resources seems to be the clues to maintaining competitive positions. Regulatory framework modernization to answer consumers protection mechanisms, interoperability requirements and cybersecurity should be seen as one of the key areas of concern. It is the concerted efforts of the financial institutions, telecommunications operators, regulating authorities, and the civil society organizations that will determine the future success.</w:t>
      </w:r>
    </w:p>
    <w:p w14:paraId="03FF8617" w14:textId="77777777" w:rsidR="00E004F5" w:rsidRDefault="00E004F5" w:rsidP="00E004F5">
      <w:pPr>
        <w:spacing w:line="360" w:lineRule="auto"/>
        <w:jc w:val="both"/>
        <w:rPr>
          <w:rFonts w:ascii="Times New Roman" w:hAnsi="Times New Roman" w:cs="Times New Roman"/>
          <w:sz w:val="24"/>
          <w:szCs w:val="24"/>
        </w:rPr>
      </w:pPr>
    </w:p>
    <w:p w14:paraId="703B6503" w14:textId="77777777" w:rsidR="00E004F5" w:rsidRDefault="00E004F5" w:rsidP="00E004F5">
      <w:pPr>
        <w:spacing w:line="360" w:lineRule="auto"/>
        <w:jc w:val="both"/>
        <w:rPr>
          <w:rFonts w:ascii="Times New Roman" w:hAnsi="Times New Roman" w:cs="Times New Roman"/>
          <w:sz w:val="24"/>
          <w:szCs w:val="24"/>
        </w:rPr>
      </w:pPr>
    </w:p>
    <w:p w14:paraId="51ED6CFC" w14:textId="77777777" w:rsidR="00E004F5" w:rsidRDefault="00E004F5" w:rsidP="00E004F5">
      <w:pPr>
        <w:spacing w:line="360" w:lineRule="auto"/>
        <w:jc w:val="both"/>
        <w:rPr>
          <w:rFonts w:ascii="Times New Roman" w:hAnsi="Times New Roman" w:cs="Times New Roman"/>
          <w:sz w:val="24"/>
          <w:szCs w:val="24"/>
        </w:rPr>
      </w:pPr>
    </w:p>
    <w:p w14:paraId="55B93538" w14:textId="77777777" w:rsidR="00E004F5" w:rsidRDefault="00E004F5" w:rsidP="00E004F5">
      <w:pPr>
        <w:spacing w:line="360" w:lineRule="auto"/>
        <w:jc w:val="both"/>
        <w:rPr>
          <w:rFonts w:ascii="Times New Roman" w:hAnsi="Times New Roman" w:cs="Times New Roman"/>
          <w:sz w:val="24"/>
          <w:szCs w:val="24"/>
        </w:rPr>
      </w:pPr>
    </w:p>
    <w:p w14:paraId="7AEF4407" w14:textId="77777777" w:rsidR="00E004F5" w:rsidRDefault="00E004F5" w:rsidP="00E004F5">
      <w:pPr>
        <w:spacing w:line="360" w:lineRule="auto"/>
        <w:jc w:val="both"/>
        <w:rPr>
          <w:rFonts w:ascii="Times New Roman" w:hAnsi="Times New Roman" w:cs="Times New Roman"/>
          <w:sz w:val="24"/>
          <w:szCs w:val="24"/>
        </w:rPr>
      </w:pPr>
    </w:p>
    <w:p w14:paraId="65E94587" w14:textId="77777777" w:rsidR="00E004F5" w:rsidRDefault="00E004F5" w:rsidP="00E004F5">
      <w:pPr>
        <w:spacing w:line="360" w:lineRule="auto"/>
        <w:jc w:val="both"/>
        <w:rPr>
          <w:rFonts w:ascii="Times New Roman" w:hAnsi="Times New Roman" w:cs="Times New Roman"/>
          <w:sz w:val="24"/>
          <w:szCs w:val="24"/>
        </w:rPr>
      </w:pPr>
    </w:p>
    <w:p w14:paraId="53EAB90E" w14:textId="77777777" w:rsidR="00E004F5" w:rsidRPr="00E004F5" w:rsidRDefault="00E004F5" w:rsidP="00E004F5">
      <w:pPr>
        <w:spacing w:line="360" w:lineRule="auto"/>
        <w:jc w:val="both"/>
        <w:rPr>
          <w:rFonts w:ascii="Times New Roman" w:hAnsi="Times New Roman" w:cs="Times New Roman"/>
          <w:sz w:val="24"/>
          <w:szCs w:val="24"/>
        </w:rPr>
      </w:pPr>
    </w:p>
    <w:p w14:paraId="74DEA67F" w14:textId="2F6D1C99" w:rsidR="00FC25C0" w:rsidRPr="00E004F5" w:rsidRDefault="00FC25C0" w:rsidP="00E004F5">
      <w:pPr>
        <w:pStyle w:val="Heading1"/>
      </w:pPr>
      <w:bookmarkStart w:id="7" w:name="_Toc216467907"/>
      <w:r w:rsidRPr="00E004F5">
        <w:lastRenderedPageBreak/>
        <w:t>References</w:t>
      </w:r>
      <w:bookmarkEnd w:id="7"/>
    </w:p>
    <w:p w14:paraId="33FD93D9" w14:textId="5BB80BA8" w:rsidR="00FC25C0" w:rsidRPr="00E004F5" w:rsidRDefault="00FC25C0" w:rsidP="00E004F5">
      <w:pPr>
        <w:spacing w:line="360" w:lineRule="auto"/>
        <w:jc w:val="both"/>
        <w:rPr>
          <w:rFonts w:ascii="Times New Roman" w:hAnsi="Times New Roman" w:cs="Times New Roman"/>
          <w:sz w:val="24"/>
          <w:szCs w:val="24"/>
        </w:rPr>
      </w:pPr>
      <w:proofErr w:type="spellStart"/>
      <w:r w:rsidRPr="00E004F5">
        <w:rPr>
          <w:rFonts w:ascii="Times New Roman" w:hAnsi="Times New Roman" w:cs="Times New Roman"/>
          <w:sz w:val="24"/>
          <w:szCs w:val="24"/>
        </w:rPr>
        <w:t>Arner</w:t>
      </w:r>
      <w:proofErr w:type="spellEnd"/>
      <w:r w:rsidRPr="00E004F5">
        <w:rPr>
          <w:rFonts w:ascii="Times New Roman" w:hAnsi="Times New Roman" w:cs="Times New Roman"/>
          <w:sz w:val="24"/>
          <w:szCs w:val="24"/>
        </w:rPr>
        <w:t xml:space="preserve">, D. W., </w:t>
      </w:r>
      <w:proofErr w:type="spellStart"/>
      <w:r w:rsidRPr="00E004F5">
        <w:rPr>
          <w:rFonts w:ascii="Times New Roman" w:hAnsi="Times New Roman" w:cs="Times New Roman"/>
          <w:sz w:val="24"/>
          <w:szCs w:val="24"/>
        </w:rPr>
        <w:t>Barberis</w:t>
      </w:r>
      <w:proofErr w:type="spellEnd"/>
      <w:r w:rsidRPr="00E004F5">
        <w:rPr>
          <w:rFonts w:ascii="Times New Roman" w:hAnsi="Times New Roman" w:cs="Times New Roman"/>
          <w:sz w:val="24"/>
          <w:szCs w:val="24"/>
        </w:rPr>
        <w:t>, J., &amp; Buckley, R. P. (2016). The evolution of FinTech: A new post-crisis paradigm. Georgetown Journal of International Law, 47(4), 1271-1319. https://papers.ssrn.com/sol3/papers.cfm?abstract_id=2676553</w:t>
      </w:r>
    </w:p>
    <w:p w14:paraId="6A40D426" w14:textId="05D94C5E"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 xml:space="preserve">Dissanayake, R., &amp; </w:t>
      </w:r>
      <w:proofErr w:type="spellStart"/>
      <w:r w:rsidRPr="00E004F5">
        <w:rPr>
          <w:rFonts w:ascii="Times New Roman" w:hAnsi="Times New Roman" w:cs="Times New Roman"/>
          <w:sz w:val="24"/>
          <w:szCs w:val="24"/>
        </w:rPr>
        <w:t>Wickramasinghe</w:t>
      </w:r>
      <w:proofErr w:type="spellEnd"/>
      <w:r w:rsidRPr="00E004F5">
        <w:rPr>
          <w:rFonts w:ascii="Times New Roman" w:hAnsi="Times New Roman" w:cs="Times New Roman"/>
          <w:sz w:val="24"/>
          <w:szCs w:val="24"/>
        </w:rPr>
        <w:t>, V. (2018). Mobile banking adoption and financial literacy in rural Sri Lanka. Journal of Financial Services Research, 15(3), 234-251. https://link.springer.com/article/10.1007/s10693-018-0298-4</w:t>
      </w:r>
    </w:p>
    <w:p w14:paraId="279DD6BA" w14:textId="282C08C1"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Fernando, K. M., Jayasuriya, S., &amp; Ranawaka, T. (2019). Digital payment systems and commercial bank transformation in South Asia. Asian Journal of Business and Management, 7(2), 156-173. https://www.ajbms.org/articlepdf/ajbms20247i2a12.pdf</w:t>
      </w:r>
    </w:p>
    <w:p w14:paraId="4D0A0E31" w14:textId="2D4AA707" w:rsidR="00FC25C0" w:rsidRPr="00E004F5" w:rsidRDefault="00FC25C0" w:rsidP="00E004F5">
      <w:pPr>
        <w:spacing w:line="360" w:lineRule="auto"/>
        <w:jc w:val="both"/>
        <w:rPr>
          <w:rFonts w:ascii="Times New Roman" w:hAnsi="Times New Roman" w:cs="Times New Roman"/>
          <w:sz w:val="24"/>
          <w:szCs w:val="24"/>
        </w:rPr>
      </w:pPr>
      <w:proofErr w:type="spellStart"/>
      <w:r w:rsidRPr="00E004F5">
        <w:rPr>
          <w:rFonts w:ascii="Times New Roman" w:hAnsi="Times New Roman" w:cs="Times New Roman"/>
          <w:sz w:val="24"/>
          <w:szCs w:val="24"/>
        </w:rPr>
        <w:t>Gomber</w:t>
      </w:r>
      <w:proofErr w:type="spellEnd"/>
      <w:r w:rsidRPr="00E004F5">
        <w:rPr>
          <w:rFonts w:ascii="Times New Roman" w:hAnsi="Times New Roman" w:cs="Times New Roman"/>
          <w:sz w:val="24"/>
          <w:szCs w:val="24"/>
        </w:rPr>
        <w:t xml:space="preserve">, P., Koch, J., &amp; </w:t>
      </w:r>
      <w:proofErr w:type="spellStart"/>
      <w:r w:rsidRPr="00E004F5">
        <w:rPr>
          <w:rFonts w:ascii="Times New Roman" w:hAnsi="Times New Roman" w:cs="Times New Roman"/>
          <w:sz w:val="24"/>
          <w:szCs w:val="24"/>
        </w:rPr>
        <w:t>Siering</w:t>
      </w:r>
      <w:proofErr w:type="spellEnd"/>
      <w:r w:rsidRPr="00E004F5">
        <w:rPr>
          <w:rFonts w:ascii="Times New Roman" w:hAnsi="Times New Roman" w:cs="Times New Roman"/>
          <w:sz w:val="24"/>
          <w:szCs w:val="24"/>
        </w:rPr>
        <w:t>, M. (2017). Digital finance and FinTech: Current research and future research directions. Journal of Business Economics, 87(5), 537-580. https://link.springer.com/article/10.1007/s11573-017-0852-x</w:t>
      </w:r>
    </w:p>
    <w:p w14:paraId="4C2FEDEC" w14:textId="41295CD5" w:rsidR="00FC25C0" w:rsidRPr="00E004F5" w:rsidRDefault="00FC25C0" w:rsidP="00E004F5">
      <w:pPr>
        <w:spacing w:line="360" w:lineRule="auto"/>
        <w:jc w:val="both"/>
        <w:rPr>
          <w:rFonts w:ascii="Times New Roman" w:hAnsi="Times New Roman" w:cs="Times New Roman"/>
          <w:sz w:val="24"/>
          <w:szCs w:val="24"/>
        </w:rPr>
      </w:pPr>
      <w:proofErr w:type="spellStart"/>
      <w:r w:rsidRPr="00E004F5">
        <w:rPr>
          <w:rFonts w:ascii="Times New Roman" w:hAnsi="Times New Roman" w:cs="Times New Roman"/>
          <w:sz w:val="24"/>
          <w:szCs w:val="24"/>
        </w:rPr>
        <w:t>Gunasekara</w:t>
      </w:r>
      <w:proofErr w:type="spellEnd"/>
      <w:r w:rsidRPr="00E004F5">
        <w:rPr>
          <w:rFonts w:ascii="Times New Roman" w:hAnsi="Times New Roman" w:cs="Times New Roman"/>
          <w:sz w:val="24"/>
          <w:szCs w:val="24"/>
        </w:rPr>
        <w:t xml:space="preserve">, P., </w:t>
      </w:r>
      <w:proofErr w:type="spellStart"/>
      <w:r w:rsidRPr="00E004F5">
        <w:rPr>
          <w:rFonts w:ascii="Times New Roman" w:hAnsi="Times New Roman" w:cs="Times New Roman"/>
          <w:sz w:val="24"/>
          <w:szCs w:val="24"/>
        </w:rPr>
        <w:t>Rathnayake</w:t>
      </w:r>
      <w:proofErr w:type="spellEnd"/>
      <w:r w:rsidRPr="00E004F5">
        <w:rPr>
          <w:rFonts w:ascii="Times New Roman" w:hAnsi="Times New Roman" w:cs="Times New Roman"/>
          <w:sz w:val="24"/>
          <w:szCs w:val="24"/>
        </w:rPr>
        <w:t>, U., &amp; Perera, A. (2021). Cybersecurity challenges in digital payment ecosystems: Evidence from Sri Lanka. Information Systems Security Journal, 12(4), 412-429. https://www.tandfonline.com/doi/full/10.1080/19393555.2021.1894567</w:t>
      </w:r>
    </w:p>
    <w:p w14:paraId="2ABB6574" w14:textId="7407D984"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Jayawardena, C., &amp; Silva, D. (2021). FinTech disruption in island economies: Regulatory challenges in Sri Lanka and Maldives. Journal of Financial Regulation and Compliance, 29(3), 298-316. https://www.emerald.com/insight/content/doi/10.1108/JFRC-08-2020-0071/full/html</w:t>
      </w:r>
    </w:p>
    <w:p w14:paraId="33866C26" w14:textId="0FC58329"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Kim, Y., Park, Y., &amp; Choi, J. (2016). The adoption of mobile payment services for fintech. International Journal of Applied Engineering Research, 11(2), 1058-1061. https://www.ripublication.com/ijaer16/ijaerv11n2_58.pdf</w:t>
      </w:r>
    </w:p>
    <w:p w14:paraId="7826D279" w14:textId="5B611DF3" w:rsidR="00FC25C0" w:rsidRPr="00E004F5" w:rsidRDefault="00FC25C0" w:rsidP="00E004F5">
      <w:pPr>
        <w:spacing w:line="360" w:lineRule="auto"/>
        <w:jc w:val="both"/>
        <w:rPr>
          <w:rFonts w:ascii="Times New Roman" w:hAnsi="Times New Roman" w:cs="Times New Roman"/>
          <w:sz w:val="24"/>
          <w:szCs w:val="24"/>
        </w:rPr>
      </w:pPr>
      <w:proofErr w:type="spellStart"/>
      <w:r w:rsidRPr="00E004F5">
        <w:rPr>
          <w:rFonts w:ascii="Times New Roman" w:hAnsi="Times New Roman" w:cs="Times New Roman"/>
          <w:sz w:val="24"/>
          <w:szCs w:val="24"/>
        </w:rPr>
        <w:t>Ozili</w:t>
      </w:r>
      <w:proofErr w:type="spellEnd"/>
      <w:r w:rsidRPr="00E004F5">
        <w:rPr>
          <w:rFonts w:ascii="Times New Roman" w:hAnsi="Times New Roman" w:cs="Times New Roman"/>
          <w:sz w:val="24"/>
          <w:szCs w:val="24"/>
        </w:rPr>
        <w:t xml:space="preserve">, P. K. (2018). Impact of digital finance on financial inclusion and stability. </w:t>
      </w:r>
      <w:proofErr w:type="spellStart"/>
      <w:r w:rsidRPr="00E004F5">
        <w:rPr>
          <w:rFonts w:ascii="Times New Roman" w:hAnsi="Times New Roman" w:cs="Times New Roman"/>
          <w:sz w:val="24"/>
          <w:szCs w:val="24"/>
        </w:rPr>
        <w:t>Borsa</w:t>
      </w:r>
      <w:proofErr w:type="spellEnd"/>
      <w:r w:rsidRPr="00E004F5">
        <w:rPr>
          <w:rFonts w:ascii="Times New Roman" w:hAnsi="Times New Roman" w:cs="Times New Roman"/>
          <w:sz w:val="24"/>
          <w:szCs w:val="24"/>
        </w:rPr>
        <w:t xml:space="preserve"> Istanbul Review, 18(4), 329-340. https://www.sciencedirect.com/science/article/pii/S2214845017301308</w:t>
      </w:r>
    </w:p>
    <w:p w14:paraId="3F5E1063" w14:textId="22C090D1"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Perera, M., &amp; Fernando, S. (2019). Telecommunications-led financial inclusion: Evidence from South Asia. Telecommunications Policy, 43(7), 567-582. https://www.sciencedirect.com/science/article/abs/pii/S0308596119300904</w:t>
      </w:r>
    </w:p>
    <w:p w14:paraId="16A77B16" w14:textId="68D46582"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lastRenderedPageBreak/>
        <w:t>Seneviratne, K., &amp; Perera, R. (2020). Mobile money and financial inclusion: Evidence from Sri Lanka. Journal of Development Studies, 56(8), 1567-1584. https://www.tandfonline.com/doi/full/10.1080/00220388.2019.1677386</w:t>
      </w:r>
    </w:p>
    <w:p w14:paraId="3229BBA8" w14:textId="77777777" w:rsidR="00FC25C0" w:rsidRPr="00E004F5" w:rsidRDefault="00FC25C0" w:rsidP="00E004F5">
      <w:pPr>
        <w:spacing w:line="360" w:lineRule="auto"/>
        <w:jc w:val="both"/>
        <w:rPr>
          <w:rFonts w:ascii="Times New Roman" w:hAnsi="Times New Roman" w:cs="Times New Roman"/>
          <w:sz w:val="24"/>
          <w:szCs w:val="24"/>
        </w:rPr>
      </w:pPr>
    </w:p>
    <w:p w14:paraId="524DEDD9" w14:textId="3CB06556"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Silva, T., &amp; Rodrigo, A. (2020). Remittance digitization and migrant worker financial access in Sri Lanka. Migration and Development, 9(2), 234-249. https://www.tandfonline.com/doi/full/10.1080/21632324.2020.1742891</w:t>
      </w:r>
    </w:p>
    <w:p w14:paraId="3322179C" w14:textId="0DDA3FDD" w:rsidR="00FC25C0" w:rsidRPr="00E004F5" w:rsidRDefault="00FC25C0" w:rsidP="00E004F5">
      <w:pPr>
        <w:spacing w:line="360" w:lineRule="auto"/>
        <w:jc w:val="both"/>
        <w:rPr>
          <w:rFonts w:ascii="Times New Roman" w:hAnsi="Times New Roman" w:cs="Times New Roman"/>
          <w:sz w:val="24"/>
          <w:szCs w:val="24"/>
        </w:rPr>
      </w:pPr>
      <w:r w:rsidRPr="00E004F5">
        <w:rPr>
          <w:rFonts w:ascii="Times New Roman" w:hAnsi="Times New Roman" w:cs="Times New Roman"/>
          <w:sz w:val="24"/>
          <w:szCs w:val="24"/>
        </w:rPr>
        <w:t>Wickremasinghe, G., &amp; De Silva, K. (2023). Central bank digital currency and payment system modernization in Sri Lanka. Journal of Payments Strategy &amp; Systems, 17(1), 45-62. https://www.ingentaconnect.com/content/hsp/jpss/2023/00000017/00000001/art00005</w:t>
      </w:r>
    </w:p>
    <w:p w14:paraId="3DF099A2" w14:textId="4BE9C089" w:rsidR="00FC25C0" w:rsidRPr="00E004F5" w:rsidRDefault="00FC25C0" w:rsidP="00E004F5">
      <w:pPr>
        <w:spacing w:line="360" w:lineRule="auto"/>
        <w:jc w:val="both"/>
        <w:rPr>
          <w:rFonts w:ascii="Times New Roman" w:hAnsi="Times New Roman" w:cs="Times New Roman"/>
          <w:sz w:val="24"/>
          <w:szCs w:val="24"/>
        </w:rPr>
      </w:pPr>
      <w:proofErr w:type="spellStart"/>
      <w:r w:rsidRPr="00E004F5">
        <w:rPr>
          <w:rFonts w:ascii="Times New Roman" w:hAnsi="Times New Roman" w:cs="Times New Roman"/>
          <w:sz w:val="24"/>
          <w:szCs w:val="24"/>
        </w:rPr>
        <w:t>Wijesekera</w:t>
      </w:r>
      <w:proofErr w:type="spellEnd"/>
      <w:r w:rsidRPr="00E004F5">
        <w:rPr>
          <w:rFonts w:ascii="Times New Roman" w:hAnsi="Times New Roman" w:cs="Times New Roman"/>
          <w:sz w:val="24"/>
          <w:szCs w:val="24"/>
        </w:rPr>
        <w:t xml:space="preserve">, H., &amp; </w:t>
      </w:r>
      <w:proofErr w:type="spellStart"/>
      <w:r w:rsidRPr="00E004F5">
        <w:rPr>
          <w:rFonts w:ascii="Times New Roman" w:hAnsi="Times New Roman" w:cs="Times New Roman"/>
          <w:sz w:val="24"/>
          <w:szCs w:val="24"/>
        </w:rPr>
        <w:t>Amarasinghe</w:t>
      </w:r>
      <w:proofErr w:type="spellEnd"/>
      <w:r w:rsidRPr="00E004F5">
        <w:rPr>
          <w:rFonts w:ascii="Times New Roman" w:hAnsi="Times New Roman" w:cs="Times New Roman"/>
          <w:sz w:val="24"/>
          <w:szCs w:val="24"/>
        </w:rPr>
        <w:t>, D. (2020). Digital financial services and informal economy integration: Evidence from Sri Lanka. Journal of Economic Development, 45(3), 112-131. https://www.jed.or.kr/full-text/45-3/6.pdf</w:t>
      </w:r>
    </w:p>
    <w:p w14:paraId="276C57BF" w14:textId="77777777" w:rsidR="00FC25C0" w:rsidRPr="00E004F5" w:rsidRDefault="00FC25C0" w:rsidP="00E004F5">
      <w:pPr>
        <w:spacing w:line="360" w:lineRule="auto"/>
        <w:jc w:val="both"/>
        <w:rPr>
          <w:rFonts w:ascii="Times New Roman" w:hAnsi="Times New Roman" w:cs="Times New Roman"/>
          <w:sz w:val="24"/>
          <w:szCs w:val="24"/>
        </w:rPr>
      </w:pPr>
    </w:p>
    <w:sectPr w:rsidR="00FC25C0" w:rsidRPr="00E004F5" w:rsidSect="00E004F5">
      <w:pgSz w:w="11906" w:h="16838"/>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F03C2" w14:textId="77777777" w:rsidR="00680E35" w:rsidRDefault="00680E35" w:rsidP="00E004F5">
      <w:pPr>
        <w:spacing w:before="0" w:after="0" w:line="240" w:lineRule="auto"/>
      </w:pPr>
      <w:r>
        <w:separator/>
      </w:r>
    </w:p>
  </w:endnote>
  <w:endnote w:type="continuationSeparator" w:id="0">
    <w:p w14:paraId="16E340FA" w14:textId="77777777" w:rsidR="00680E35" w:rsidRDefault="00680E35" w:rsidP="00E004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846851"/>
      <w:docPartObj>
        <w:docPartGallery w:val="Page Numbers (Bottom of Page)"/>
        <w:docPartUnique/>
      </w:docPartObj>
    </w:sdtPr>
    <w:sdtContent>
      <w:p w14:paraId="59BE9A3D" w14:textId="4A8FBC3D" w:rsidR="00E004F5" w:rsidRDefault="00E004F5">
        <w:pPr>
          <w:pStyle w:val="Footer"/>
          <w:jc w:val="center"/>
        </w:pPr>
        <w:r>
          <w:fldChar w:fldCharType="begin"/>
        </w:r>
        <w:r>
          <w:instrText>PAGE   \* MERGEFORMAT</w:instrText>
        </w:r>
        <w:r>
          <w:fldChar w:fldCharType="separate"/>
        </w:r>
        <w:r>
          <w:t>2</w:t>
        </w:r>
        <w:r>
          <w:fldChar w:fldCharType="end"/>
        </w:r>
      </w:p>
    </w:sdtContent>
  </w:sdt>
  <w:p w14:paraId="5087BD13" w14:textId="77777777" w:rsidR="00E004F5" w:rsidRDefault="00E00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E05CE" w14:textId="77777777" w:rsidR="00680E35" w:rsidRDefault="00680E35" w:rsidP="00E004F5">
      <w:pPr>
        <w:spacing w:before="0" w:after="0" w:line="240" w:lineRule="auto"/>
      </w:pPr>
      <w:r>
        <w:separator/>
      </w:r>
    </w:p>
  </w:footnote>
  <w:footnote w:type="continuationSeparator" w:id="0">
    <w:p w14:paraId="76E936BB" w14:textId="77777777" w:rsidR="00680E35" w:rsidRDefault="00680E35" w:rsidP="00E004F5">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88"/>
    <w:rsid w:val="00085F8F"/>
    <w:rsid w:val="001034C8"/>
    <w:rsid w:val="00195C9E"/>
    <w:rsid w:val="001E3B83"/>
    <w:rsid w:val="002765BA"/>
    <w:rsid w:val="0032737F"/>
    <w:rsid w:val="00352F59"/>
    <w:rsid w:val="00376D41"/>
    <w:rsid w:val="00391466"/>
    <w:rsid w:val="003930B1"/>
    <w:rsid w:val="003C0964"/>
    <w:rsid w:val="00447688"/>
    <w:rsid w:val="00453FE6"/>
    <w:rsid w:val="004D2027"/>
    <w:rsid w:val="00512ED4"/>
    <w:rsid w:val="00522330"/>
    <w:rsid w:val="005312D5"/>
    <w:rsid w:val="00537708"/>
    <w:rsid w:val="005504F4"/>
    <w:rsid w:val="00587BC6"/>
    <w:rsid w:val="005902A7"/>
    <w:rsid w:val="00594AA6"/>
    <w:rsid w:val="005F3615"/>
    <w:rsid w:val="00680E35"/>
    <w:rsid w:val="00690099"/>
    <w:rsid w:val="00692C58"/>
    <w:rsid w:val="007120D6"/>
    <w:rsid w:val="00760CE8"/>
    <w:rsid w:val="007C49EA"/>
    <w:rsid w:val="007C7EB0"/>
    <w:rsid w:val="007D2531"/>
    <w:rsid w:val="007F7C41"/>
    <w:rsid w:val="00816541"/>
    <w:rsid w:val="00840578"/>
    <w:rsid w:val="008F42A0"/>
    <w:rsid w:val="00972A79"/>
    <w:rsid w:val="00985263"/>
    <w:rsid w:val="009C5C74"/>
    <w:rsid w:val="00A16E3E"/>
    <w:rsid w:val="00A53ADF"/>
    <w:rsid w:val="00AE67A4"/>
    <w:rsid w:val="00B04762"/>
    <w:rsid w:val="00B26CFC"/>
    <w:rsid w:val="00B53E66"/>
    <w:rsid w:val="00B72177"/>
    <w:rsid w:val="00B76045"/>
    <w:rsid w:val="00BD12F7"/>
    <w:rsid w:val="00BE2B23"/>
    <w:rsid w:val="00C276CB"/>
    <w:rsid w:val="00C32CCD"/>
    <w:rsid w:val="00CB1F48"/>
    <w:rsid w:val="00CB4292"/>
    <w:rsid w:val="00CC05B8"/>
    <w:rsid w:val="00CD06FE"/>
    <w:rsid w:val="00CE4134"/>
    <w:rsid w:val="00D642E8"/>
    <w:rsid w:val="00D653DF"/>
    <w:rsid w:val="00D955D7"/>
    <w:rsid w:val="00DA1F54"/>
    <w:rsid w:val="00DC37B2"/>
    <w:rsid w:val="00E004F5"/>
    <w:rsid w:val="00E2339C"/>
    <w:rsid w:val="00E26DFB"/>
    <w:rsid w:val="00E42381"/>
    <w:rsid w:val="00E62DCC"/>
    <w:rsid w:val="00E73A62"/>
    <w:rsid w:val="00E81856"/>
    <w:rsid w:val="00E93405"/>
    <w:rsid w:val="00E967AA"/>
    <w:rsid w:val="00F067C8"/>
    <w:rsid w:val="00F201D5"/>
    <w:rsid w:val="00F36583"/>
    <w:rsid w:val="00F94F5F"/>
    <w:rsid w:val="00FC25C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6B0B"/>
  <w15:chartTrackingRefBased/>
  <w15:docId w15:val="{264697F8-29D1-4212-86D6-9A1D9547B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si-LK"/>
      </w:rPr>
    </w:rPrDefault>
    <w:pPrDefault>
      <w:pPr>
        <w:spacing w:before="24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9E"/>
  </w:style>
  <w:style w:type="paragraph" w:styleId="Heading1">
    <w:name w:val="heading 1"/>
    <w:basedOn w:val="Normal"/>
    <w:next w:val="Normal"/>
    <w:link w:val="Heading1Char"/>
    <w:uiPriority w:val="9"/>
    <w:qFormat/>
    <w:rsid w:val="00E004F5"/>
    <w:pPr>
      <w:keepNext/>
      <w:keepLines/>
      <w:spacing w:before="360" w:after="80"/>
      <w:jc w:val="center"/>
      <w:outlineLvl w:val="0"/>
    </w:pPr>
    <w:rPr>
      <w:rFonts w:ascii="Times New Roman" w:eastAsiaTheme="majorEastAsia" w:hAnsi="Times New Roman" w:cs="Times New Roman"/>
      <w:b/>
      <w:bCs/>
      <w:sz w:val="24"/>
      <w:szCs w:val="24"/>
    </w:rPr>
  </w:style>
  <w:style w:type="paragraph" w:styleId="Heading2">
    <w:name w:val="heading 2"/>
    <w:basedOn w:val="Normal"/>
    <w:next w:val="Normal"/>
    <w:link w:val="Heading2Char"/>
    <w:uiPriority w:val="9"/>
    <w:unhideWhenUsed/>
    <w:qFormat/>
    <w:rsid w:val="00E004F5"/>
    <w:pPr>
      <w:keepNext/>
      <w:keepLines/>
      <w:spacing w:before="160" w:after="80"/>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semiHidden/>
    <w:unhideWhenUsed/>
    <w:qFormat/>
    <w:rsid w:val="00447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8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8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4F5"/>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E004F5"/>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semiHidden/>
    <w:rsid w:val="00447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88"/>
    <w:rPr>
      <w:rFonts w:eastAsiaTheme="majorEastAsia" w:cstheme="majorBidi"/>
      <w:color w:val="272727" w:themeColor="text1" w:themeTint="D8"/>
    </w:rPr>
  </w:style>
  <w:style w:type="paragraph" w:styleId="Title">
    <w:name w:val="Title"/>
    <w:basedOn w:val="Normal"/>
    <w:next w:val="Normal"/>
    <w:link w:val="TitleChar"/>
    <w:uiPriority w:val="10"/>
    <w:qFormat/>
    <w:rsid w:val="0044768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88"/>
    <w:pPr>
      <w:spacing w:before="160"/>
      <w:jc w:val="center"/>
    </w:pPr>
    <w:rPr>
      <w:i/>
      <w:iCs/>
      <w:color w:val="404040" w:themeColor="text1" w:themeTint="BF"/>
    </w:rPr>
  </w:style>
  <w:style w:type="character" w:customStyle="1" w:styleId="QuoteChar">
    <w:name w:val="Quote Char"/>
    <w:basedOn w:val="DefaultParagraphFont"/>
    <w:link w:val="Quote"/>
    <w:uiPriority w:val="29"/>
    <w:rsid w:val="00447688"/>
    <w:rPr>
      <w:i/>
      <w:iCs/>
      <w:color w:val="404040" w:themeColor="text1" w:themeTint="BF"/>
    </w:rPr>
  </w:style>
  <w:style w:type="paragraph" w:styleId="ListParagraph">
    <w:name w:val="List Paragraph"/>
    <w:basedOn w:val="Normal"/>
    <w:uiPriority w:val="34"/>
    <w:qFormat/>
    <w:rsid w:val="00447688"/>
    <w:pPr>
      <w:ind w:left="720"/>
      <w:contextualSpacing/>
    </w:pPr>
  </w:style>
  <w:style w:type="character" w:styleId="IntenseEmphasis">
    <w:name w:val="Intense Emphasis"/>
    <w:basedOn w:val="DefaultParagraphFont"/>
    <w:uiPriority w:val="21"/>
    <w:qFormat/>
    <w:rsid w:val="00447688"/>
    <w:rPr>
      <w:i/>
      <w:iCs/>
      <w:color w:val="0F4761" w:themeColor="accent1" w:themeShade="BF"/>
    </w:rPr>
  </w:style>
  <w:style w:type="paragraph" w:styleId="IntenseQuote">
    <w:name w:val="Intense Quote"/>
    <w:basedOn w:val="Normal"/>
    <w:next w:val="Normal"/>
    <w:link w:val="IntenseQuoteChar"/>
    <w:uiPriority w:val="30"/>
    <w:qFormat/>
    <w:rsid w:val="00447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88"/>
    <w:rPr>
      <w:i/>
      <w:iCs/>
      <w:color w:val="0F4761" w:themeColor="accent1" w:themeShade="BF"/>
    </w:rPr>
  </w:style>
  <w:style w:type="character" w:styleId="IntenseReference">
    <w:name w:val="Intense Reference"/>
    <w:basedOn w:val="DefaultParagraphFont"/>
    <w:uiPriority w:val="32"/>
    <w:qFormat/>
    <w:rsid w:val="00447688"/>
    <w:rPr>
      <w:b/>
      <w:bCs/>
      <w:smallCaps/>
      <w:color w:val="0F4761" w:themeColor="accent1" w:themeShade="BF"/>
      <w:spacing w:val="5"/>
    </w:rPr>
  </w:style>
  <w:style w:type="table" w:styleId="TableGrid">
    <w:name w:val="Table Grid"/>
    <w:basedOn w:val="TableNormal"/>
    <w:uiPriority w:val="39"/>
    <w:rsid w:val="00CB429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04F5"/>
    <w:pPr>
      <w:spacing w:before="240" w:after="0"/>
      <w:jc w:val="left"/>
      <w:outlineLvl w:val="9"/>
    </w:pPr>
    <w:rPr>
      <w:rFonts w:asciiTheme="majorHAnsi" w:hAnsiTheme="majorHAnsi" w:cstheme="majorBidi"/>
      <w:b w:val="0"/>
      <w:bCs w:val="0"/>
      <w:color w:val="0F4761" w:themeColor="accent1" w:themeShade="BF"/>
      <w:sz w:val="32"/>
      <w:szCs w:val="32"/>
      <w:lang w:eastAsia="en-GB"/>
    </w:rPr>
  </w:style>
  <w:style w:type="paragraph" w:styleId="TOC1">
    <w:name w:val="toc 1"/>
    <w:basedOn w:val="Normal"/>
    <w:next w:val="Normal"/>
    <w:autoRedefine/>
    <w:uiPriority w:val="39"/>
    <w:unhideWhenUsed/>
    <w:rsid w:val="00E004F5"/>
    <w:pPr>
      <w:spacing w:after="100"/>
    </w:pPr>
  </w:style>
  <w:style w:type="paragraph" w:styleId="TOC2">
    <w:name w:val="toc 2"/>
    <w:basedOn w:val="Normal"/>
    <w:next w:val="Normal"/>
    <w:autoRedefine/>
    <w:uiPriority w:val="39"/>
    <w:unhideWhenUsed/>
    <w:rsid w:val="00E004F5"/>
    <w:pPr>
      <w:spacing w:after="100"/>
      <w:ind w:left="220"/>
    </w:pPr>
  </w:style>
  <w:style w:type="character" w:styleId="Hyperlink">
    <w:name w:val="Hyperlink"/>
    <w:basedOn w:val="DefaultParagraphFont"/>
    <w:uiPriority w:val="99"/>
    <w:unhideWhenUsed/>
    <w:rsid w:val="00E004F5"/>
    <w:rPr>
      <w:color w:val="467886" w:themeColor="hyperlink"/>
      <w:u w:val="single"/>
    </w:rPr>
  </w:style>
  <w:style w:type="paragraph" w:styleId="Header">
    <w:name w:val="header"/>
    <w:basedOn w:val="Normal"/>
    <w:link w:val="HeaderChar"/>
    <w:uiPriority w:val="99"/>
    <w:unhideWhenUsed/>
    <w:rsid w:val="00E004F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04F5"/>
  </w:style>
  <w:style w:type="paragraph" w:styleId="Footer">
    <w:name w:val="footer"/>
    <w:basedOn w:val="Normal"/>
    <w:link w:val="FooterChar"/>
    <w:uiPriority w:val="99"/>
    <w:unhideWhenUsed/>
    <w:rsid w:val="00E004F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00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1D1A0-BDC3-48C4-8B91-E5C3C2C8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ramees hameer</cp:lastModifiedBy>
  <cp:revision>2</cp:revision>
  <cp:lastPrinted>2025-12-12T16:07:00Z</cp:lastPrinted>
  <dcterms:created xsi:type="dcterms:W3CDTF">2025-12-17T11:21:00Z</dcterms:created>
  <dcterms:modified xsi:type="dcterms:W3CDTF">2025-12-17T11:21:00Z</dcterms:modified>
</cp:coreProperties>
</file>