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9A876" w14:textId="77777777" w:rsidR="00982852" w:rsidRDefault="00000000">
      <w:pPr>
        <w:spacing w:after="40"/>
      </w:pPr>
      <w:r>
        <w:rPr>
          <w:b/>
          <w:color w:val="1B5E20"/>
          <w:sz w:val="32"/>
        </w:rPr>
        <w:t>PROJECT JOURNEY &amp; PRESENTATION EXECUTIVE SUMMARY</w:t>
      </w:r>
      <w:r>
        <w:rPr>
          <w:b/>
          <w:color w:val="1B5E20"/>
          <w:sz w:val="32"/>
        </w:rPr>
        <w:br/>
      </w:r>
      <w:r>
        <w:rPr>
          <w:b/>
          <w:color w:val="2E7D32"/>
        </w:rPr>
        <w:t>IoT-Based Smart Greenhouse Decision Support System for Tomato Cultivation with Simulation Dashboard</w:t>
      </w:r>
      <w:r>
        <w:rPr>
          <w:b/>
          <w:color w:val="2E7D32"/>
        </w:rPr>
        <w:br/>
      </w:r>
      <w:r>
        <w:rPr>
          <w:i/>
          <w:color w:val="555555"/>
          <w:sz w:val="18"/>
        </w:rPr>
        <w:t>Candidate: Fathima Hasna Mohammed Nishpar (ID: K2635977)  |  Supervisor: Dr. Dilina Herath  |  MSc IT &amp; Strategic Innovation, SLIIT</w:t>
      </w:r>
    </w:p>
    <w:p w14:paraId="6C50B7F7" w14:textId="77777777" w:rsidR="00982852" w:rsidRDefault="00982852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82852" w14:paraId="141A6AA5" w14:textId="77777777">
        <w:trPr>
          <w:jc w:val="center"/>
        </w:trPr>
        <w:tc>
          <w:tcPr>
            <w:tcW w:w="10224" w:type="dxa"/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AE7DBB" w14:textId="77777777" w:rsidR="00982852" w:rsidRDefault="00000000">
            <w:pPr>
              <w:spacing w:after="0"/>
            </w:pPr>
            <w:r>
              <w:rPr>
                <w:b/>
                <w:color w:val="1B5E20"/>
                <w:sz w:val="20"/>
              </w:rPr>
              <w:t>🎯 30-SECOND ELEVATOR PITCH FOR EXAMINERS / JUDGES:</w:t>
            </w:r>
            <w:r>
              <w:rPr>
                <w:b/>
                <w:color w:val="1B5E20"/>
                <w:sz w:val="20"/>
              </w:rPr>
              <w:br/>
            </w:r>
            <w:r>
              <w:rPr>
                <w:sz w:val="19"/>
              </w:rPr>
              <w:t>Commercial greenhouse farming is constrained by hardware dependency, high capital costs ($15k+), and crop damage risks during testing. We developed a novel dual-mode cyber-physical Decision Support System combining machine learning precision forecasting (R² = 0.941) with a risk-free virtual physics simulation engine. The solution achieved a 31.4% reduction in water usage, eliminated pot overflow root hypoxia, and earned an exceptional System Usability Scale (SUS) score of 90.6/100 (Grade A+) across 35 agricultural practitioners.</w:t>
            </w:r>
          </w:p>
        </w:tc>
      </w:tr>
    </w:tbl>
    <w:p w14:paraId="5479EB38" w14:textId="77777777" w:rsidR="00982852" w:rsidRDefault="00982852">
      <w:pPr>
        <w:spacing w:after="80"/>
      </w:pPr>
    </w:p>
    <w:p w14:paraId="6441B4C9" w14:textId="77777777" w:rsidR="00982852" w:rsidRDefault="00000000">
      <w:pPr>
        <w:spacing w:after="40"/>
      </w:pPr>
      <w:r>
        <w:rPr>
          <w:b/>
          <w:color w:val="1B5E20"/>
          <w:sz w:val="24"/>
        </w:rPr>
        <w:t>1. WHERE DID WE START? (The Problem &amp; Research Motivation)</w:t>
      </w:r>
    </w:p>
    <w:p w14:paraId="47C15D02" w14:textId="77777777" w:rsidR="00982852" w:rsidRDefault="00000000">
      <w:pPr>
        <w:spacing w:after="60"/>
      </w:pPr>
      <w:r>
        <w:rPr>
          <w:b/>
        </w:rPr>
        <w:t xml:space="preserve">• The Real-World Agricultural Crisis: </w:t>
      </w:r>
      <w:r>
        <w:t>Tomato (Solanum lycopersicum) is a high-value horticultural crop with narrow biological microclimate operating envelopes (Temperature: 21–27°C, Humidity: 60–80%, VPD: 0.8–1.2 kPa). Exceeding 32°C causes pollen sterility and flower drop; relative humidity &gt;85% causes Blossom End Rot (BER); and over-watering saturates root macropores, inducing fatal root hypoxia and Pythium root rot.</w:t>
      </w:r>
    </w:p>
    <w:p w14:paraId="6019F555" w14:textId="77777777" w:rsidR="00982852" w:rsidRDefault="00000000">
      <w:pPr>
        <w:spacing w:after="60"/>
      </w:pPr>
      <w:r>
        <w:rPr>
          <w:b/>
        </w:rPr>
        <w:t xml:space="preserve">• The Industry Limitations: </w:t>
      </w:r>
      <w:r>
        <w:t>Current greenhouse management relies either on manual visual observation (subjective &amp; slow) or open-loop calendar timers (leading to 40%+ water waste during overcast days). High-tech Dutch environmental computers (Priva, HortiMax) cost $15,000–$50,000+, have closed proprietary code, and require live crops to calibrate.</w:t>
      </w:r>
    </w:p>
    <w:p w14:paraId="5EE5B563" w14:textId="77777777" w:rsidR="00982852" w:rsidRDefault="00000000">
      <w:pPr>
        <w:spacing w:after="60"/>
      </w:pPr>
      <w:r>
        <w:rPr>
          <w:b/>
        </w:rPr>
        <w:t xml:space="preserve">• The Academic Research Gap (Sim2Real Gap): </w:t>
      </w:r>
      <w:r>
        <w:t>Existing precision agriculture literature (Goap et al., 2018; Singh et al., 2023) is universally hardware-bound. There was no open-source, dual-mode platform allowing agricultural researchers and farm managers to safely test, simulate, and calibrate automated decision support rules in software without live crop damage risks.</w:t>
      </w:r>
    </w:p>
    <w:p w14:paraId="2D6C8C4E" w14:textId="77777777" w:rsidR="00982852" w:rsidRDefault="00000000">
      <w:pPr>
        <w:spacing w:after="80"/>
      </w:pPr>
      <w:r>
        <w:rPr>
          <w:b/>
        </w:rPr>
        <w:t xml:space="preserve">• Quantitative Target Goals: </w:t>
      </w:r>
      <w:r>
        <w:t>1) Develop thread-safe real-time simulation physics engine; 2) Train ML water prediction pipeline with R² &gt; 0.90; 3) Prove &gt;25% water conservation; 4) Engineer novel closed-loop pot overflow cutoff; 5) Validate with SUS &gt; 80/100.</w:t>
      </w:r>
    </w:p>
    <w:p w14:paraId="384F510C" w14:textId="77777777" w:rsidR="00982852" w:rsidRDefault="00000000">
      <w:pPr>
        <w:spacing w:after="40"/>
      </w:pPr>
      <w:r>
        <w:rPr>
          <w:b/>
          <w:color w:val="1B5E20"/>
          <w:sz w:val="24"/>
        </w:rPr>
        <w:t>2. THE ENGINEERING &amp; DEVELOPMENT JOURNEY (DSR &amp; Agile Sprints)</w:t>
      </w:r>
    </w:p>
    <w:p w14:paraId="55E5027D" w14:textId="77777777" w:rsidR="00982852" w:rsidRDefault="00000000">
      <w:pPr>
        <w:spacing w:after="60"/>
      </w:pPr>
      <w:r>
        <w:t>Grounded in Design Science Research (DSR) (Peffers et al., 2007) and built across 4 two-week Agile Scrum Sprint cycles:</w:t>
      </w:r>
    </w:p>
    <w:p w14:paraId="4D9D5A0A" w14:textId="77777777" w:rsidR="00982852" w:rsidRDefault="00000000">
      <w:pPr>
        <w:spacing w:after="40"/>
      </w:pPr>
      <w:r>
        <w:rPr>
          <w:b/>
        </w:rPr>
        <w:t xml:space="preserve">• Sprint 1: Dual-Mode Architecture &amp; Simulation Engine: </w:t>
      </w:r>
      <w:r>
        <w:t>Built Flask 3.1 backend, SQLite relational database, and an in-memory SimulatedFirebaseStore protected by re-entrant mutex locks (threading.Lock). Created a 2.5-second background daemon thread calculating sinusoidal diurnal thermal curves: T(t) = 26 + 8*sin(π(t-8)/12) - 3.5*Fan, relative humidity VPD coupling, and root evapotranspiration soil drying decay.</w:t>
      </w:r>
    </w:p>
    <w:p w14:paraId="2894094D" w14:textId="77777777" w:rsidR="00982852" w:rsidRDefault="00000000">
      <w:pPr>
        <w:spacing w:after="40"/>
      </w:pPr>
      <w:r>
        <w:rPr>
          <w:b/>
        </w:rPr>
        <w:t xml:space="preserve">• Sprint 2: Applied Machine Learning Pipelines: </w:t>
      </w:r>
      <w:r>
        <w:t>Engineered PolynomialFeatures(deg=2) transforming 4 sensor inputs into 14 non-linear terms (capturing Temp*Light midday transpirational surges). Trained Random Forest Regressor for irrigation water (R² = 0.941, MAE = 0.082 L/plant), Random Forest for NPK fertilizer dosage (R² = 0.912), Gradient Boosting for application timing (92.4% accuracy), and phenological harvest forecaster (MAE = 2.1 days). Wrapped with safe_load_model for zero-crash fallback.</w:t>
      </w:r>
    </w:p>
    <w:p w14:paraId="52359661" w14:textId="77777777" w:rsidR="00982852" w:rsidRDefault="00000000">
      <w:pPr>
        <w:spacing w:after="40"/>
      </w:pPr>
      <w:r>
        <w:rPr>
          <w:b/>
        </w:rPr>
        <w:t xml:space="preserve">• Sprint 3: Full-Stack Web Presentation &amp; UI/UX: </w:t>
      </w:r>
      <w:r>
        <w:t xml:space="preserve">Created modern landing page (/), technical specifications (/information), live dashboard with real-time sensor cards, animated SVG water tank </w:t>
      </w:r>
      <w:r>
        <w:lastRenderedPageBreak/>
        <w:t>visualizer, Chart.js time-series analytics, and interactive Simulation Controls modal with 6 quick presets (Heatwave &gt;40°C, Dry Soil, Low Tank, Pot Overflow, Normal, Refill).</w:t>
      </w:r>
    </w:p>
    <w:p w14:paraId="6CD6E50C" w14:textId="77777777" w:rsidR="00982852" w:rsidRDefault="00000000">
      <w:pPr>
        <w:spacing w:after="80"/>
      </w:pPr>
      <w:r>
        <w:rPr>
          <w:b/>
        </w:rPr>
        <w:t xml:space="preserve">• Sprint 4: Physical IoT &amp; Closed-Loop Safety Interlocks: </w:t>
      </w:r>
      <w:r>
        <w:t>Programmed ESP32 Wi-Fi C++ firmware (DHT11, anti-corrosion capacitive soil probe, HC-SR04 ultrasonic sensor, LDR, 2-channel 5V relays, buzzer). Implemented multi-condition automation rules and a novel Pot Overflow Safety Cutoff (if waterLevel &gt; 1000 ADC, force pump OFF at 0ms and trigger buzzer alarm).</w:t>
      </w:r>
    </w:p>
    <w:p w14:paraId="0B1DE716" w14:textId="77777777" w:rsidR="00982852" w:rsidRDefault="00000000">
      <w:r>
        <w:br w:type="page"/>
      </w:r>
    </w:p>
    <w:p w14:paraId="1536F5DC" w14:textId="77777777" w:rsidR="00982852" w:rsidRDefault="00000000">
      <w:pPr>
        <w:spacing w:after="40"/>
      </w:pPr>
      <w:r>
        <w:rPr>
          <w:b/>
          <w:color w:val="1B5E20"/>
          <w:sz w:val="24"/>
        </w:rPr>
        <w:lastRenderedPageBreak/>
        <w:t>3. HOW WE WROTE THE DISSERTATION (Academic Rigor &amp; Structure)</w:t>
      </w:r>
    </w:p>
    <w:p w14:paraId="7882BB9B" w14:textId="59B04443" w:rsidR="00982852" w:rsidRDefault="00000000">
      <w:pPr>
        <w:spacing w:after="60"/>
      </w:pPr>
      <w:r>
        <w:t>We authored a comprehensive 60-page Master's Dissertation conforming to British/ post-graduate standards:</w:t>
      </w:r>
    </w:p>
    <w:p w14:paraId="4A641C79" w14:textId="77777777" w:rsidR="00982852" w:rsidRDefault="00000000">
      <w:pPr>
        <w:spacing w:after="40"/>
      </w:pPr>
      <w:r>
        <w:rPr>
          <w:b/>
        </w:rPr>
        <w:t xml:space="preserve">• Preliminary Pages: </w:t>
      </w:r>
      <w:r>
        <w:t>Formal Cover Page, Warranty Disclaimer, Plagiarism Declaration of Originality, Dedications &amp; Acknowledgements, Structured Academic Abstract, Automated Table of Contents, Lists of Figures/Tables, and Glossary of 15 Technical Abbreviations.</w:t>
      </w:r>
    </w:p>
    <w:p w14:paraId="7DA52ED6" w14:textId="77777777" w:rsidR="00982852" w:rsidRDefault="00000000">
      <w:pPr>
        <w:spacing w:after="40"/>
      </w:pPr>
      <w:r>
        <w:rPr>
          <w:b/>
        </w:rPr>
        <w:t xml:space="preserve">• Chapter 1 (Introduction): </w:t>
      </w:r>
      <w:r>
        <w:t>Establishes global food security context, economic significance of tomato CEA, current operational drawbacks, 5 formal research questions, 5 quantitative aims/objectives, and academic/practical contributions.</w:t>
      </w:r>
    </w:p>
    <w:p w14:paraId="4502C2A0" w14:textId="77777777" w:rsidR="00982852" w:rsidRDefault="00000000">
      <w:pPr>
        <w:spacing w:after="40"/>
      </w:pPr>
      <w:r>
        <w:rPr>
          <w:b/>
        </w:rPr>
        <w:t xml:space="preserve">• Chapter 2 (Literature Review): </w:t>
      </w:r>
      <w:r>
        <w:t>Comprehensive biophysical review of tomato physiology (RuBisCO denaturation &gt;40°C, VPD 0.8–1.2 kPa, FAO-56 Penman-Monteith ET), ESP32 vs ESP8266 vs Raspberry Pi hardware comparative benchmarks, Polynomial &amp; Tree Ensemble ML review, critique of commercial/academic platforms, and Table 1 Master Synthesis Matrix establishing the research gap.</w:t>
      </w:r>
    </w:p>
    <w:p w14:paraId="15F149C5" w14:textId="77777777" w:rsidR="00982852" w:rsidRDefault="00000000">
      <w:pPr>
        <w:spacing w:after="40"/>
      </w:pPr>
      <w:r>
        <w:rPr>
          <w:b/>
        </w:rPr>
        <w:t xml:space="preserve">• Chapter 3 (Methodology): </w:t>
      </w:r>
      <w:r>
        <w:t>Epistemological Pragmatism, Hevner's 3 DSR cycles (Relevance, Rigor, Design), Peffers' 6 phases, 4 Agile Scrum Sprints, multi-tier software stack, in-memory simulated store mathematics, dataset acquisition (N=35 primary survey, 1,440 secondary telemetry), 5-task UAT &amp; SUS protocol, and GDPR research ethics compliance.</w:t>
      </w:r>
    </w:p>
    <w:p w14:paraId="64A7D5A5" w14:textId="77777777" w:rsidR="00982852" w:rsidRDefault="00000000">
      <w:pPr>
        <w:spacing w:after="40"/>
      </w:pPr>
      <w:r>
        <w:rPr>
          <w:b/>
        </w:rPr>
        <w:t xml:space="preserve">• Chapter 4 (Empirical Evaluation): </w:t>
      </w:r>
      <w:r>
        <w:t>Full statistical validation: 35-participant SUS benchmark (Mean SUS = 90.6/100, Grade A+ Superior), 97.1% UAT completion rate, ML regression validation (R² = 0.941, MAE = 0.082 L), Fertilizer accuracy (92.4%), Harvest MAE (2.1 days), and 30-day comparative water savings curve proving 31.4% water reduction vs. calendar timers.</w:t>
      </w:r>
    </w:p>
    <w:p w14:paraId="15BBF4EF" w14:textId="77777777" w:rsidR="00982852" w:rsidRDefault="00000000">
      <w:pPr>
        <w:spacing w:after="40"/>
      </w:pPr>
      <w:r>
        <w:rPr>
          <w:b/>
        </w:rPr>
        <w:t xml:space="preserve">• Chapter 5 (Implementation): </w:t>
      </w:r>
      <w:r>
        <w:t>Full architectural walkthrough with 10 high-resolution user interface diagrams, SVG water tank level gauge, simulation drawer modal, and historical CSV export.</w:t>
      </w:r>
    </w:p>
    <w:p w14:paraId="66B02E11" w14:textId="77777777" w:rsidR="00982852" w:rsidRDefault="00000000">
      <w:pPr>
        <w:spacing w:after="40"/>
      </w:pPr>
      <w:r>
        <w:rPr>
          <w:b/>
        </w:rPr>
        <w:t xml:space="preserve">• Chapter 6 &amp; 7 (Discussion &amp; Conclusion): </w:t>
      </w:r>
      <w:r>
        <w:t>Theoretical IS contributions (dual-mode architectural pattern), alignment with UN Sustainable Development Goals (SDG 6: Clean Water, SDG 12: Responsible Consumption), limitations (Wi-Fi reliance), and future roadmap (LoRaWAN &amp; Edge TinyML).</w:t>
      </w:r>
    </w:p>
    <w:p w14:paraId="0FE439B1" w14:textId="77777777" w:rsidR="00982852" w:rsidRDefault="00000000">
      <w:pPr>
        <w:spacing w:after="60"/>
      </w:pPr>
      <w:r>
        <w:rPr>
          <w:b/>
        </w:rPr>
        <w:t xml:space="preserve">• Appendices A to F: </w:t>
      </w:r>
      <w:r>
        <w:t>Synthesis Matrix (App A), 10-Item SUS Questionnaire &amp; Informed Consent (App B), Risk &amp; Mitigation Matrix (App C), Code Listings &amp; Complete API Schema (App D), ESP32 Hardware Pinouts (App E), and Dataset Manifest (App F).</w:t>
      </w:r>
    </w:p>
    <w:p w14:paraId="4185E3EA" w14:textId="77777777" w:rsidR="00982852" w:rsidRDefault="00000000">
      <w:pPr>
        <w:spacing w:after="40"/>
      </w:pPr>
      <w:r>
        <w:rPr>
          <w:b/>
          <w:color w:val="1B5E20"/>
          <w:sz w:val="24"/>
        </w:rPr>
        <w:t>4. HOW DID WE END? (Final Deliverables &amp; Key Presentation Takeaways)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82852" w14:paraId="320A41CD" w14:textId="77777777">
        <w:trPr>
          <w:jc w:val="center"/>
        </w:trPr>
        <w:tc>
          <w:tcPr>
            <w:tcW w:w="2556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54CB8" w14:textId="77777777" w:rsidR="00982852" w:rsidRDefault="00000000">
            <w:r>
              <w:rPr>
                <w:b/>
                <w:color w:val="FFFFFF"/>
                <w:sz w:val="17"/>
              </w:rPr>
              <w:t>💧 Water Savings</w:t>
            </w:r>
          </w:p>
        </w:tc>
        <w:tc>
          <w:tcPr>
            <w:tcW w:w="2556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CF7F9" w14:textId="77777777" w:rsidR="00982852" w:rsidRDefault="00000000">
            <w:r>
              <w:rPr>
                <w:b/>
                <w:color w:val="FFFFFF"/>
                <w:sz w:val="17"/>
              </w:rPr>
              <w:t>🎯 ML Irrigation R²</w:t>
            </w:r>
          </w:p>
        </w:tc>
        <w:tc>
          <w:tcPr>
            <w:tcW w:w="2556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1F017" w14:textId="77777777" w:rsidR="00982852" w:rsidRDefault="00000000">
            <w:r>
              <w:rPr>
                <w:b/>
                <w:color w:val="FFFFFF"/>
                <w:sz w:val="17"/>
              </w:rPr>
              <w:t>🧪 Fertilizer Accuracy</w:t>
            </w:r>
          </w:p>
        </w:tc>
        <w:tc>
          <w:tcPr>
            <w:tcW w:w="2556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453A9" w14:textId="77777777" w:rsidR="00982852" w:rsidRDefault="00000000">
            <w:r>
              <w:rPr>
                <w:b/>
                <w:color w:val="FFFFFF"/>
                <w:sz w:val="17"/>
              </w:rPr>
              <w:t>🌟 SUS Usability Score</w:t>
            </w:r>
          </w:p>
        </w:tc>
      </w:tr>
      <w:tr w:rsidR="00982852" w14:paraId="314BB5A5" w14:textId="77777777">
        <w:trPr>
          <w:jc w:val="center"/>
        </w:trPr>
        <w:tc>
          <w:tcPr>
            <w:tcW w:w="2556" w:type="dxa"/>
            <w:shd w:val="clear" w:color="auto" w:fill="F1F8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B3348" w14:textId="77777777" w:rsidR="00982852" w:rsidRDefault="00000000">
            <w:r>
              <w:rPr>
                <w:b/>
                <w:color w:val="1B5E20"/>
                <w:sz w:val="17"/>
              </w:rPr>
              <w:t>31.4% Reduction</w:t>
            </w:r>
          </w:p>
        </w:tc>
        <w:tc>
          <w:tcPr>
            <w:tcW w:w="2556" w:type="dxa"/>
            <w:shd w:val="clear" w:color="auto" w:fill="F1F8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B3AE1" w14:textId="77777777" w:rsidR="00982852" w:rsidRDefault="00000000">
            <w:r>
              <w:rPr>
                <w:b/>
                <w:color w:val="1B5E20"/>
                <w:sz w:val="17"/>
              </w:rPr>
              <w:t>R² = 0.941 (MAE 0.082L)</w:t>
            </w:r>
          </w:p>
        </w:tc>
        <w:tc>
          <w:tcPr>
            <w:tcW w:w="2556" w:type="dxa"/>
            <w:shd w:val="clear" w:color="auto" w:fill="F1F8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EAEE3" w14:textId="77777777" w:rsidR="00982852" w:rsidRDefault="00000000">
            <w:r>
              <w:rPr>
                <w:b/>
                <w:color w:val="1B5E20"/>
                <w:sz w:val="17"/>
              </w:rPr>
              <w:t>92.4% Classification</w:t>
            </w:r>
          </w:p>
        </w:tc>
        <w:tc>
          <w:tcPr>
            <w:tcW w:w="2556" w:type="dxa"/>
            <w:shd w:val="clear" w:color="auto" w:fill="F1F8E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842EA" w14:textId="77777777" w:rsidR="00982852" w:rsidRDefault="00000000">
            <w:r>
              <w:rPr>
                <w:b/>
                <w:color w:val="1B5E20"/>
                <w:sz w:val="17"/>
              </w:rPr>
              <w:t>90.6 / 100 (Grade A+)</w:t>
            </w:r>
          </w:p>
        </w:tc>
      </w:tr>
    </w:tbl>
    <w:p w14:paraId="40843BFB" w14:textId="77777777" w:rsidR="00982852" w:rsidRDefault="00000000">
      <w:pPr>
        <w:spacing w:before="60" w:after="0"/>
      </w:pPr>
      <w:r>
        <w:rPr>
          <w:b/>
        </w:rPr>
        <w:t xml:space="preserve">FINAL CONCLUSION FOR SLIDES: </w:t>
      </w:r>
      <w:r>
        <w:t>We successfully engineered, tested, and validated an accessible, dual-mode cyber-physical smart greenhouse decision support system that bridges the gap between software simulation and physical IoT, delivering proven water sustainability, high usability, and zero crop risk testing.</w:t>
      </w:r>
    </w:p>
    <w:sectPr w:rsidR="00982852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978188">
    <w:abstractNumId w:val="8"/>
  </w:num>
  <w:num w:numId="2" w16cid:durableId="599995776">
    <w:abstractNumId w:val="6"/>
  </w:num>
  <w:num w:numId="3" w16cid:durableId="1298951839">
    <w:abstractNumId w:val="5"/>
  </w:num>
  <w:num w:numId="4" w16cid:durableId="353649405">
    <w:abstractNumId w:val="4"/>
  </w:num>
  <w:num w:numId="5" w16cid:durableId="2111268701">
    <w:abstractNumId w:val="7"/>
  </w:num>
  <w:num w:numId="6" w16cid:durableId="1365401525">
    <w:abstractNumId w:val="3"/>
  </w:num>
  <w:num w:numId="7" w16cid:durableId="1788351933">
    <w:abstractNumId w:val="2"/>
  </w:num>
  <w:num w:numId="8" w16cid:durableId="2106220403">
    <w:abstractNumId w:val="1"/>
  </w:num>
  <w:num w:numId="9" w16cid:durableId="36726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685"/>
    <w:rsid w:val="00982852"/>
    <w:rsid w:val="00A32945"/>
    <w:rsid w:val="00AA1D8D"/>
    <w:rsid w:val="00B47730"/>
    <w:rsid w:val="00CB0664"/>
    <w:rsid w:val="00F37D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B7063"/>
  <w14:defaultImageDpi w14:val="300"/>
  <w15:docId w15:val="{B087A85B-B6F4-4419-A494-49A7BC1D4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Ahamed</cp:lastModifiedBy>
  <cp:revision>3</cp:revision>
  <dcterms:created xsi:type="dcterms:W3CDTF">2013-12-23T23:15:00Z</dcterms:created>
  <dcterms:modified xsi:type="dcterms:W3CDTF">2026-08-23T10:42:00Z</dcterms:modified>
  <cp:category/>
</cp:coreProperties>
</file>