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5E20"/>
          <w:sz w:val="34"/>
        </w:rPr>
        <w:t>MASTER'S VIVA DEFENSE &amp; LIVE DEMONSTRATION SCRIPT</w:t>
        <w:br/>
      </w:r>
      <w:r>
        <w:rPr>
          <w:b/>
          <w:color w:val="2E7D32"/>
          <w:sz w:val="22"/>
        </w:rPr>
        <w:t>Step-by-Step Presentation Guide, Click Flow, Talking Points &amp; Judge Q&amp;A Defense</w:t>
        <w:br/>
      </w:r>
      <w:r>
        <w:rPr>
          <w:i/>
          <w:color w:val="555555"/>
          <w:sz w:val="18"/>
        </w:rPr>
        <w:t>Project: IoT-Based Smart Greenhouse Decision Support System for Tomato Cultivation</w:t>
        <w:br/>
        <w:t>Candidate: Fathima Hasna Mohammed Nishpar (ID: K2635977) | Supervisor: Dr. Dilina Herath | SLIIT</w:t>
      </w:r>
    </w:p>
    <w:p>
      <w:pPr>
        <w:spacing w:after="80"/>
      </w:pPr>
    </w:p>
    <w:p>
      <w:pPr>
        <w:keepNext/>
        <w:spacing w:before="240" w:after="80"/>
      </w:pPr>
      <w:r>
        <w:rPr>
          <w:b/>
          <w:color w:val="1B5E20"/>
          <w:sz w:val="30"/>
        </w:rPr>
        <w:t>1. Master Presentation Schedule &amp; Time Allocation (10–12 Minutes Total)</w:t>
      </w:r>
    </w:p>
    <w:tbl>
      <w:tblPr>
        <w:tblW w:type="auto" w:w="0"/>
        <w:jc w:val="center"/>
        <w:tblLook w:firstColumn="1" w:firstRow="1" w:lastColumn="0" w:lastRow="0" w:noHBand="0" w:noVBand="1" w:val="04A0"/>
      </w:tblPr>
      <w:tblGrid>
        <w:gridCol w:w="3312"/>
        <w:gridCol w:w="3312"/>
        <w:gridCol w:w="3312"/>
      </w:tblGrid>
      <w:tr>
        <w:tc>
          <w:tcPr>
            <w:tcW w:type="dxa" w:w="3312"/>
            <w:shd w:fill="1B5E20"/>
            <w:tcMar>
              <w:top w:w="70" w:type="dxa"/>
              <w:bottom w:w="70" w:type="dxa"/>
              <w:left w:w="90" w:type="dxa"/>
              <w:right w:w="90" w:type="dxa"/>
            </w:tcMar>
          </w:tcPr>
          <w:p>
            <w:r>
              <w:rPr>
                <w:b/>
                <w:color w:val="FFFFFF"/>
                <w:sz w:val="19"/>
              </w:rPr>
              <w:t>Presentation Phase</w:t>
            </w:r>
          </w:p>
        </w:tc>
        <w:tc>
          <w:tcPr>
            <w:tcW w:type="dxa" w:w="3312"/>
            <w:shd w:fill="1B5E20"/>
            <w:tcMar>
              <w:top w:w="70" w:type="dxa"/>
              <w:bottom w:w="70" w:type="dxa"/>
              <w:left w:w="90" w:type="dxa"/>
              <w:right w:w="90" w:type="dxa"/>
            </w:tcMar>
          </w:tcPr>
          <w:p>
            <w:r>
              <w:rPr>
                <w:b/>
                <w:color w:val="FFFFFF"/>
                <w:sz w:val="19"/>
              </w:rPr>
              <w:t>Allocated Time</w:t>
            </w:r>
          </w:p>
        </w:tc>
        <w:tc>
          <w:tcPr>
            <w:tcW w:type="dxa" w:w="3312"/>
            <w:shd w:fill="1B5E20"/>
            <w:tcMar>
              <w:top w:w="70" w:type="dxa"/>
              <w:bottom w:w="70" w:type="dxa"/>
              <w:left w:w="90" w:type="dxa"/>
              <w:right w:w="90" w:type="dxa"/>
            </w:tcMar>
          </w:tcPr>
          <w:p>
            <w:r>
              <w:rPr>
                <w:b/>
                <w:color w:val="FFFFFF"/>
                <w:sz w:val="19"/>
              </w:rPr>
              <w:t>Core Objective &amp; Demonstration Goal</w:t>
            </w:r>
          </w:p>
        </w:tc>
      </w:tr>
      <w:tr>
        <w:tc>
          <w:tcPr>
            <w:tcW w:type="dxa" w:w="3312"/>
            <w:tcMar>
              <w:top w:w="60" w:type="dxa"/>
              <w:bottom w:w="60" w:type="dxa"/>
              <w:left w:w="80" w:type="dxa"/>
              <w:right w:w="80" w:type="dxa"/>
            </w:tcMar>
          </w:tcPr>
          <w:p>
            <w:r>
              <w:rPr>
                <w:b/>
                <w:sz w:val="18"/>
              </w:rPr>
              <w:t>Phase 1: The Problem &amp; Opening Hook</w:t>
            </w:r>
          </w:p>
        </w:tc>
        <w:tc>
          <w:tcPr>
            <w:tcW w:type="dxa" w:w="3312"/>
            <w:tcMar>
              <w:top w:w="60" w:type="dxa"/>
              <w:bottom w:w="60" w:type="dxa"/>
              <w:left w:w="80" w:type="dxa"/>
              <w:right w:w="80" w:type="dxa"/>
            </w:tcMar>
          </w:tcPr>
          <w:p>
            <w:r>
              <w:rPr>
                <w:sz w:val="18"/>
              </w:rPr>
              <w:t>1.5 mins</w:t>
            </w:r>
          </w:p>
        </w:tc>
        <w:tc>
          <w:tcPr>
            <w:tcW w:type="dxa" w:w="3312"/>
            <w:tcMar>
              <w:top w:w="60" w:type="dxa"/>
              <w:bottom w:w="60" w:type="dxa"/>
              <w:left w:w="80" w:type="dxa"/>
              <w:right w:w="80" w:type="dxa"/>
            </w:tcMar>
          </w:tcPr>
          <w:p>
            <w:r>
              <w:rPr>
                <w:sz w:val="18"/>
              </w:rPr>
              <w:t>Deliver the 30-sec elevator pitch: why tomato farming fails with static timers and why Dutch systems ($15k+) fail smallholder farmers.</w:t>
            </w:r>
          </w:p>
        </w:tc>
      </w:tr>
      <w:tr>
        <w:tc>
          <w:tcPr>
            <w:tcW w:type="dxa" w:w="3312"/>
            <w:tcMar>
              <w:top w:w="60" w:type="dxa"/>
              <w:bottom w:w="60" w:type="dxa"/>
              <w:left w:w="80" w:type="dxa"/>
              <w:right w:w="80" w:type="dxa"/>
            </w:tcMar>
          </w:tcPr>
          <w:p>
            <w:r>
              <w:rPr>
                <w:b/>
                <w:sz w:val="18"/>
              </w:rPr>
              <w:t>Phase 2: Live System Demonstration</w:t>
            </w:r>
          </w:p>
        </w:tc>
        <w:tc>
          <w:tcPr>
            <w:tcW w:type="dxa" w:w="3312"/>
            <w:tcMar>
              <w:top w:w="60" w:type="dxa"/>
              <w:bottom w:w="60" w:type="dxa"/>
              <w:left w:w="80" w:type="dxa"/>
              <w:right w:w="80" w:type="dxa"/>
            </w:tcMar>
          </w:tcPr>
          <w:p>
            <w:r>
              <w:rPr>
                <w:sz w:val="18"/>
              </w:rPr>
              <w:t>5.5 mins</w:t>
            </w:r>
          </w:p>
        </w:tc>
        <w:tc>
          <w:tcPr>
            <w:tcW w:type="dxa" w:w="3312"/>
            <w:tcMar>
              <w:top w:w="60" w:type="dxa"/>
              <w:bottom w:w="60" w:type="dxa"/>
              <w:left w:w="80" w:type="dxa"/>
              <w:right w:w="80" w:type="dxa"/>
            </w:tcMar>
          </w:tcPr>
          <w:p>
            <w:r>
              <w:rPr>
                <w:sz w:val="18"/>
              </w:rPr>
              <w:t>Execute live click-by-click demonstration: Landing page, Live Dashboard, Simulation Presets (Heatwave/Overflow), and ML Forecasters.</w:t>
            </w:r>
          </w:p>
        </w:tc>
      </w:tr>
      <w:tr>
        <w:tc>
          <w:tcPr>
            <w:tcW w:type="dxa" w:w="3312"/>
            <w:tcMar>
              <w:top w:w="60" w:type="dxa"/>
              <w:bottom w:w="60" w:type="dxa"/>
              <w:left w:w="80" w:type="dxa"/>
              <w:right w:w="80" w:type="dxa"/>
            </w:tcMar>
          </w:tcPr>
          <w:p>
            <w:r>
              <w:rPr>
                <w:b/>
                <w:sz w:val="18"/>
              </w:rPr>
              <w:t>Phase 3: Empirical Research Validation</w:t>
            </w:r>
          </w:p>
        </w:tc>
        <w:tc>
          <w:tcPr>
            <w:tcW w:type="dxa" w:w="3312"/>
            <w:tcMar>
              <w:top w:w="60" w:type="dxa"/>
              <w:bottom w:w="60" w:type="dxa"/>
              <w:left w:w="80" w:type="dxa"/>
              <w:right w:w="80" w:type="dxa"/>
            </w:tcMar>
          </w:tcPr>
          <w:p>
            <w:r>
              <w:rPr>
                <w:sz w:val="18"/>
              </w:rPr>
              <w:t>2.0 mins</w:t>
            </w:r>
          </w:p>
        </w:tc>
        <w:tc>
          <w:tcPr>
            <w:tcW w:type="dxa" w:w="3312"/>
            <w:tcMar>
              <w:top w:w="60" w:type="dxa"/>
              <w:bottom w:w="60" w:type="dxa"/>
              <w:left w:w="80" w:type="dxa"/>
              <w:right w:w="80" w:type="dxa"/>
            </w:tcMar>
          </w:tcPr>
          <w:p>
            <w:r>
              <w:rPr>
                <w:sz w:val="18"/>
              </w:rPr>
              <w:t>Showcase proven metrics: 31.4% water savings, R² = 0.941 accuracy, and 35-participant SUS usability score of 90.6/100 (Grade A+).</w:t>
            </w:r>
          </w:p>
        </w:tc>
      </w:tr>
      <w:tr>
        <w:tc>
          <w:tcPr>
            <w:tcW w:type="dxa" w:w="3312"/>
            <w:tcMar>
              <w:top w:w="60" w:type="dxa"/>
              <w:bottom w:w="60" w:type="dxa"/>
              <w:left w:w="80" w:type="dxa"/>
              <w:right w:w="80" w:type="dxa"/>
            </w:tcMar>
          </w:tcPr>
          <w:p>
            <w:r>
              <w:rPr>
                <w:b/>
                <w:sz w:val="18"/>
              </w:rPr>
              <w:t>Phase 4: UN SDGs &amp; Future Roadmap</w:t>
            </w:r>
          </w:p>
        </w:tc>
        <w:tc>
          <w:tcPr>
            <w:tcW w:type="dxa" w:w="3312"/>
            <w:tcMar>
              <w:top w:w="60" w:type="dxa"/>
              <w:bottom w:w="60" w:type="dxa"/>
              <w:left w:w="80" w:type="dxa"/>
              <w:right w:w="80" w:type="dxa"/>
            </w:tcMar>
          </w:tcPr>
          <w:p>
            <w:r>
              <w:rPr>
                <w:sz w:val="18"/>
              </w:rPr>
              <w:t>1.0 min</w:t>
            </w:r>
          </w:p>
        </w:tc>
        <w:tc>
          <w:tcPr>
            <w:tcW w:type="dxa" w:w="3312"/>
            <w:tcMar>
              <w:top w:w="60" w:type="dxa"/>
              <w:bottom w:w="60" w:type="dxa"/>
              <w:left w:w="80" w:type="dxa"/>
              <w:right w:w="80" w:type="dxa"/>
            </w:tcMar>
          </w:tcPr>
          <w:p>
            <w:r>
              <w:rPr>
                <w:sz w:val="18"/>
              </w:rPr>
              <w:t>Highlight UN Sustainable Development Goals (SDG 6 &amp; 12), LoRaWAN rural scaling, and TinyML edge vision.</w:t>
            </w:r>
          </w:p>
        </w:tc>
      </w:tr>
      <w:tr>
        <w:tc>
          <w:tcPr>
            <w:tcW w:type="dxa" w:w="3312"/>
            <w:tcMar>
              <w:top w:w="60" w:type="dxa"/>
              <w:bottom w:w="60" w:type="dxa"/>
              <w:left w:w="80" w:type="dxa"/>
              <w:right w:w="80" w:type="dxa"/>
            </w:tcMar>
          </w:tcPr>
          <w:p>
            <w:r>
              <w:rPr>
                <w:b/>
                <w:sz w:val="18"/>
              </w:rPr>
              <w:t>Phase 5: Judge Panel Q&amp;A Defense</w:t>
            </w:r>
          </w:p>
        </w:tc>
        <w:tc>
          <w:tcPr>
            <w:tcW w:type="dxa" w:w="3312"/>
            <w:tcMar>
              <w:top w:w="60" w:type="dxa"/>
              <w:bottom w:w="60" w:type="dxa"/>
              <w:left w:w="80" w:type="dxa"/>
              <w:right w:w="80" w:type="dxa"/>
            </w:tcMar>
          </w:tcPr>
          <w:p>
            <w:r>
              <w:rPr>
                <w:sz w:val="18"/>
              </w:rPr>
              <w:t>3.0 mins</w:t>
            </w:r>
          </w:p>
        </w:tc>
        <w:tc>
          <w:tcPr>
            <w:tcW w:type="dxa" w:w="3312"/>
            <w:tcMar>
              <w:top w:w="60" w:type="dxa"/>
              <w:bottom w:w="60" w:type="dxa"/>
              <w:left w:w="80" w:type="dxa"/>
              <w:right w:w="80" w:type="dxa"/>
            </w:tcMar>
          </w:tcPr>
          <w:p>
            <w:r>
              <w:rPr>
                <w:sz w:val="18"/>
              </w:rPr>
              <w:t>Answer examiner questions with confident, pre-prepared academic and technical justifications.</w:t>
            </w:r>
          </w:p>
        </w:tc>
      </w:tr>
    </w:tbl>
    <w:p>
      <w:pPr>
        <w:spacing w:after="120"/>
      </w:pPr>
    </w:p>
    <w:p>
      <w:pPr>
        <w:keepNext/>
        <w:spacing w:before="240" w:after="80"/>
      </w:pPr>
      <w:r>
        <w:rPr>
          <w:b/>
          <w:color w:val="1B5E20"/>
          <w:sz w:val="30"/>
        </w:rPr>
        <w:t>2. Live System Demonstration: Click-by-Click Step Guide</w:t>
      </w: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1: The Root Landing Page &amp; Live Microclimate Snapshot</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Open your browser and navigate to: http://127.0.0.1:5000/</w:t>
              <w:br/>
              <w:t>2. Scroll slowly down the landing page.</w:t>
              <w:br/>
              <w:t>3. Point your mouse to the 'Live Greenhouse Snapshot' card in the hero section displaying live Temperature, Humidity, Soil Moisture, and Light levels.</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"Good morning respected members of the panel. I would like to begin by demonstrating our Smart Greenhouse Decision Support System. As you can see, before a user even logs in, the platform immediately provides public transparency with a real-time microclimate snapshot. Notice that our system operates in Dual-Mode—seamlessly bridging virtual simulation with physical IoT hardware."</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Emphasize that the platform displays 4 key performance badges: 31.4% Proven Water Savings, R² = 0.941 ML Accuracy, 92.4% Fertilizer Timing, and 90.6/100 SUS Grade A+ Usability.</w:t>
            </w:r>
          </w:p>
        </w:tc>
      </w:tr>
    </w:tbl>
    <w:p>
      <w:pPr>
        <w:spacing w:after="120"/>
      </w:pP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2: Technical Specifications &amp; Agronomic Operating Envelopes</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Click the white 'System Details' button in the hero banner (or '/information' in navbar).</w:t>
              <w:br/>
              <w:t>2. Scroll through Section 2 (Multi-Layer Architecture) and Section 3 (Tomato Physiological Envelopes).</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"Here on the System Details page, we provide the theoretical and agronomic grounding. Tomatoes are exceptionally sensitive crops: temperatures above 35°C denature RuBisCO enzymes, while improper humidity triggers Blossom End Rot. Our system is pre-configured with tomato physiological cardinal thresholds to protect the crop 24/7."</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Shows the judges that your system is built upon real agronomic plant physiology (Vapor Pressure Deficit 0.8–1.2 kPa) and not just random numbers.</w:t>
            </w:r>
          </w:p>
        </w:tc>
      </w:tr>
    </w:tbl>
    <w:p>
      <w:pPr>
        <w:spacing w:after="120"/>
      </w:pP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3: Authentication &amp; Real-Time Telemetry Dashboard</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Click 'Login' in the navbar.</w:t>
              <w:br/>
              <w:t>2. Enter username (e.g., admin) and password, then click 'Sign In'.</w:t>
              <w:br/>
              <w:t>3. You are redirected to '/dashboard'.</w:t>
              <w:br/>
              <w:t>4. Point to the sensor metric cards and the animated SVG Water Tank Gauge on the right.</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"Now logging into the authenticated dashboard, farm managers receive sub-second telemetry updates. On the right, notice our custom animated SVG Water Reservoir visualizer. It dynamically tracks the water level percentage derived from ultrasonic distance sensing, providing visual warnings before the tank runs dry."</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Highlight that the UI is responsive, updates every 2.5 seconds asynchronously via AJAX without page flickering, and includes clear color-coded health thresholds.</w:t>
            </w:r>
          </w:p>
        </w:tc>
      </w:tr>
    </w:tbl>
    <w:p>
      <w:pPr>
        <w:spacing w:after="120"/>
      </w:pP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4: Virtual Physics Simulation &amp; Extreme Weather Testing (THE SHOWSTOPPER!)</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Click the yellow 'Simulation Controls' button in the top navbar.</w:t>
              <w:br/>
              <w:t>2. In the modal, click '🔥 Heatwave (&gt;40°C)' preset -&gt; Close modal and show that Dashboard Temperature jumps to 41.5°C, humidity drops, and Cooling Fan turns ON automatically.</w:t>
              <w:br/>
              <w:t>3. Open modal again, click '🚨 Overflow' preset -&gt; Show Pot Water Level spikes to 1150 ADC, and the Irrigation Pump is FORCED OFF instantly with emergency buzzer alert!</w:t>
              <w:br/>
              <w:t>4. Click '💧 Refill Tank' and '🌿 Normal' to restore balance.</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 xml:space="preserve">"This is our core innovation: The Simulation Physics Sandbox. Traditionally, farmers cannot test automation rules without risking real crops. Here, with one click, I can simulate an extreme Heatwave. Notice how the temperature jumps to 41.5°C, and the system automatically turns on the exhaust cooling fan. </w:t>
              <w:br/>
              <w:br/>
              <w:t>Next, I trigger a Pot Overflow scenario: the pot probe detects standing water above 1000 ADC. Notice that our closed-loop safety interlock IMMEDIATELY forces the irrigation pump OFF at 0 milliseconds, eliminating root hypoxia, root rot, and fertilizer leaching."</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This is the most impressive part of your presentation. It proves that your system solves the 'Sim2Real' research gap and has built-in crop protection safety.</w:t>
            </w:r>
          </w:p>
        </w:tc>
      </w:tr>
    </w:tbl>
    <w:p>
      <w:pPr>
        <w:spacing w:after="120"/>
      </w:pP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5: AI Precision Irrigation Forecasting</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Click 'Irrigation' in the top navbar.</w:t>
              <w:br/>
              <w:t>2. Select 'Direct Plant Count' (enter 50 plants) or 'Greenhouse Area' (enter 100 sq meters, 1.5m gap).</w:t>
              <w:br/>
              <w:t>3. Click 'Predict Water Requirement'.</w:t>
              <w:br/>
              <w:t>4. Show the calculated result: Per-plant water volume (e.g., 1.42 L) and Total greenhouse water requirement (e.g., 71.0 L) with natural language reasoning.</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"Moving to the Irrigation decision interface, our system replaces rigid calendar timers with a trained Polynomial Regression model (R² = 0.941). It takes real-time temperature, humidity, soil moisture, and solar light into a 2nd-degree polynomial expansion to compute the exact evapotranspiration demand per plant, saving over 31% of water."</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Point out that the system also provides an explainable agronomic reasoning summary explaining WHY the watering recommendation was made.</w:t>
            </w:r>
          </w:p>
        </w:tc>
      </w:tr>
    </w:tbl>
    <w:p>
      <w:pPr>
        <w:spacing w:after="120"/>
      </w:pP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6: Smart Fertilizer Optimization &amp; Harvest Maturity Forecaster</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Click 'Fertilizer' in the navbar -&gt; Show soil type and growth stage selection, click predict to show recommended NPK dosage (kg/ha) and application schedule weeks.</w:t>
              <w:br/>
              <w:t>2. Click 'Harvest' in the navbar -&gt; Show planting date and cumulative thermal degree-days estimating the exact commercial maturity date.</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"Our platform also manages the complete tomato crop lifecycle: predicting NPK fertilizer dosage via Random Forest (R² = 0.912) and application timing via Gradient Boosting (92.4% accuracy), alongside a harvest maturity forecaster accurate within 2.1 days."</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Demonstrates complete, end-to-end decision support rather than just a simple watering switch.</w:t>
            </w:r>
          </w:p>
        </w:tc>
      </w:tr>
    </w:tbl>
    <w:p>
      <w:pPr>
        <w:spacing w:after="120"/>
      </w:pPr>
    </w:p>
    <w:tbl>
      <w:tblPr>
        <w:tblW w:type="auto" w:w="0"/>
        <w:jc w:val="center"/>
        <w:tblLook w:firstColumn="1" w:firstRow="1" w:lastColumn="0" w:lastRow="0" w:noHBand="0" w:noVBand="1" w:val="04A0"/>
      </w:tblPr>
      <w:tblGrid>
        <w:gridCol w:w="4968"/>
        <w:gridCol w:w="4968"/>
      </w:tblGrid>
      <w:tr>
        <w:tc>
          <w:tcPr>
            <w:tcW w:type="dxa" w:w="9936"/>
            <w:gridSpan w:val="2"/>
            <w:shd w:fill="1B5E20"/>
            <w:tcMar>
              <w:top w:w="80" w:type="dxa"/>
              <w:bottom w:w="80" w:type="dxa"/>
              <w:left w:w="120" w:type="dxa"/>
              <w:right w:w="120" w:type="dxa"/>
            </w:tcMar>
          </w:tcPr>
          <w:p>
            <w:r>
              <w:rPr>
                <w:b/>
                <w:color w:val="FFFFFF"/>
                <w:sz w:val="22"/>
              </w:rPr>
              <w:t>STEP 7: Historical Telemetry &amp; CSV Dataset Export</w:t>
            </w:r>
          </w:p>
        </w:tc>
      </w:tr>
      <w:tr>
        <w:tc>
          <w:tcPr>
            <w:tcW w:type="dxa" w:w="3168"/>
            <w:shd w:fill="F1F8E9"/>
            <w:tcMar>
              <w:top w:w="70" w:type="dxa"/>
              <w:bottom w:w="70" w:type="dxa"/>
              <w:left w:w="90" w:type="dxa"/>
              <w:right w:w="90" w:type="dxa"/>
            </w:tcMar>
          </w:tcPr>
          <w:p>
            <w:r>
              <w:rPr>
                <w:b/>
                <w:color w:val="1B5E20"/>
                <w:sz w:val="18"/>
              </w:rPr>
              <w:t>🖱️ WHERE TO CLICK / WHAT TO DO:</w:t>
            </w:r>
          </w:p>
        </w:tc>
        <w:tc>
          <w:tcPr>
            <w:tcW w:type="dxa" w:w="6624"/>
            <w:shd w:fill="F1F8E9"/>
            <w:tcMar>
              <w:top w:w="70" w:type="dxa"/>
              <w:bottom w:w="70" w:type="dxa"/>
              <w:left w:w="90" w:type="dxa"/>
              <w:right w:w="90" w:type="dxa"/>
            </w:tcMar>
          </w:tcPr>
          <w:p>
            <w:r>
              <w:rPr>
                <w:sz w:val="19"/>
              </w:rPr>
              <w:t>1. Click 'History' in the top navbar.</w:t>
              <w:br/>
              <w:t>2. Show the tabulated prediction history logs.</w:t>
              <w:br/>
              <w:t>3. Click 'Download CSV' to demonstrate file export.</w:t>
            </w:r>
          </w:p>
        </w:tc>
      </w:tr>
      <w:tr>
        <w:tc>
          <w:tcPr>
            <w:tcW w:type="dxa" w:w="3168"/>
            <w:shd w:fill="FFFFFF"/>
            <w:tcMar>
              <w:top w:w="70" w:type="dxa"/>
              <w:bottom w:w="70" w:type="dxa"/>
              <w:left w:w="90" w:type="dxa"/>
              <w:right w:w="90" w:type="dxa"/>
            </w:tcMar>
          </w:tcPr>
          <w:p>
            <w:r>
              <w:rPr>
                <w:b/>
                <w:color w:val="1B5E20"/>
                <w:sz w:val="18"/>
              </w:rPr>
              <w:t>🗣️ EXACT WORDS TO SAY TO JUDGES:</w:t>
            </w:r>
          </w:p>
        </w:tc>
        <w:tc>
          <w:tcPr>
            <w:tcW w:type="dxa" w:w="6624"/>
            <w:shd w:fill="FFFFFF"/>
            <w:tcMar>
              <w:top w:w="70" w:type="dxa"/>
              <w:bottom w:w="70" w:type="dxa"/>
              <w:left w:w="90" w:type="dxa"/>
              <w:right w:w="90" w:type="dxa"/>
            </w:tcMar>
          </w:tcPr>
          <w:p>
            <w:r>
              <w:rPr>
                <w:sz w:val="19"/>
              </w:rPr>
              <w:t>"Finally, every automated decision and sensor record is permanently logged and exportable to CSV for agricultural record-keeping, compliance, and agronomic reporting."</w:t>
            </w:r>
          </w:p>
        </w:tc>
      </w:tr>
      <w:tr>
        <w:tc>
          <w:tcPr>
            <w:tcW w:type="dxa" w:w="3168"/>
            <w:shd w:fill="FFF9C4"/>
            <w:tcMar>
              <w:top w:w="70" w:type="dxa"/>
              <w:bottom w:w="70" w:type="dxa"/>
              <w:left w:w="90" w:type="dxa"/>
              <w:right w:w="90" w:type="dxa"/>
            </w:tcMar>
          </w:tcPr>
          <w:p>
            <w:r>
              <w:rPr>
                <w:b/>
                <w:color w:val="78350F"/>
                <w:sz w:val="18"/>
              </w:rPr>
              <w:t>💡 KEY TECHNICAL HIGHLIGHT TO EMPHASIZE:</w:t>
            </w:r>
          </w:p>
        </w:tc>
        <w:tc>
          <w:tcPr>
            <w:tcW w:type="dxa" w:w="6624"/>
            <w:shd w:fill="FFF9C4"/>
            <w:tcMar>
              <w:top w:w="70" w:type="dxa"/>
              <w:bottom w:w="70" w:type="dxa"/>
              <w:left w:w="90" w:type="dxa"/>
              <w:right w:w="90" w:type="dxa"/>
            </w:tcMar>
          </w:tcPr>
          <w:p>
            <w:r>
              <w:rPr>
                <w:sz w:val="19"/>
              </w:rPr>
              <w:t>Proves data persistence, transparency, and audit readiness.</w:t>
            </w:r>
          </w:p>
        </w:tc>
      </w:tr>
    </w:tbl>
    <w:p>
      <w:pPr>
        <w:spacing w:after="120"/>
      </w:pPr>
    </w:p>
    <w:p>
      <w:r>
        <w:br w:type="page"/>
      </w:r>
    </w:p>
    <w:p>
      <w:pPr>
        <w:keepNext/>
        <w:spacing w:before="240" w:after="80"/>
      </w:pPr>
      <w:r>
        <w:rPr>
          <w:b/>
          <w:color w:val="1B5E20"/>
          <w:sz w:val="30"/>
        </w:rPr>
        <w:t>3. Anticipated Judge Panel Questions &amp; Winning Defense Answers</w:t>
      </w:r>
    </w:p>
    <w:p>
      <w:pPr>
        <w:spacing w:before="120" w:after="40"/>
      </w:pPr>
      <w:r>
        <w:rPr>
          <w:b/>
          <w:color w:val="1B5E20"/>
          <w:sz w:val="21"/>
        </w:rPr>
        <w:t>Q1: Is this system only applicable to tomatoes, or can it be scaled to other crops?</w:t>
      </w:r>
    </w:p>
    <w:tbl>
      <w:tblPr>
        <w:tblW w:type="auto" w:w="0"/>
        <w:jc w:val="center"/>
        <w:tblLook w:firstColumn="1" w:firstRow="1" w:lastColumn="0" w:lastRow="0" w:noHBand="0" w:noVBand="1" w:val="04A0"/>
      </w:tblPr>
      <w:tblGrid>
        <w:gridCol w:w="9936"/>
      </w:tblGrid>
      <w:tr>
        <w:tc>
          <w:tcPr>
            <w:tcW w:type="dxa" w:w="9936"/>
            <w:shd w:fill="F9FBE7"/>
            <w:tcMar>
              <w:top w:w="80" w:type="dxa"/>
              <w:bottom w:w="80" w:type="dxa"/>
              <w:left w:w="120" w:type="dxa"/>
              <w:right w:w="120" w:type="dxa"/>
            </w:tcMar>
          </w:tcPr>
          <w:p>
            <w:pPr>
              <w:spacing w:after="0"/>
            </w:pPr>
            <w:r>
              <w:rPr>
                <w:sz w:val="19"/>
              </w:rPr>
              <w:t>Winning Defense Answer:</w:t>
              <w:br/>
              <w:t>"While tomato was selected as our primary benchmark due to its acute sensitivity to microclimate stress and global economic importance, our cyber-physical architecture, simulation engine, and ML pipelines are completely crop-agnostic. To adapt to bell peppers, cucumbers, strawberries, or leafy greens, an operator only needs to adjust the target biological threshold parameters and retrain the Scikit-learn models with crop-specific historical data—requiring zero structural software or hardware changes."</w:t>
            </w:r>
          </w:p>
        </w:tc>
      </w:tr>
    </w:tbl>
    <w:p>
      <w:pPr>
        <w:spacing w:before="120" w:after="40"/>
      </w:pPr>
      <w:r>
        <w:rPr>
          <w:b/>
          <w:color w:val="1B5E20"/>
          <w:sz w:val="21"/>
        </w:rPr>
        <w:t>Q2: Why did you use Polynomial Regression and Tree Ensembles instead of Deep Learning (LSTM / Neural Networks)?</w:t>
      </w:r>
    </w:p>
    <w:tbl>
      <w:tblPr>
        <w:tblW w:type="auto" w:w="0"/>
        <w:jc w:val="center"/>
        <w:tblLook w:firstColumn="1" w:firstRow="1" w:lastColumn="0" w:lastRow="0" w:noHBand="0" w:noVBand="1" w:val="04A0"/>
      </w:tblPr>
      <w:tblGrid>
        <w:gridCol w:w="9936"/>
      </w:tblGrid>
      <w:tr>
        <w:tc>
          <w:tcPr>
            <w:tcW w:type="dxa" w:w="9936"/>
            <w:shd w:fill="F9FBE7"/>
            <w:tcMar>
              <w:top w:w="80" w:type="dxa"/>
              <w:bottom w:w="80" w:type="dxa"/>
              <w:left w:w="120" w:type="dxa"/>
              <w:right w:w="120" w:type="dxa"/>
            </w:tcMar>
          </w:tcPr>
          <w:p>
            <w:pPr>
              <w:spacing w:after="0"/>
            </w:pPr>
            <w:r>
              <w:rPr>
                <w:sz w:val="19"/>
              </w:rPr>
              <w:t>Winning Defense Answer:</w:t>
              <w:br/>
              <w:t>"Deep learning architectures like LSTMs require substantial compute infrastructure, high power consumption, and thousands of parameters, often acting as 'black boxes'. For tabular agricultural telemetry (1,440 hourly records), Polynomial Feature Expansion (degree=2) combined with Random Forest achieved exceptional accuracy (R² = 0.941, MAE = 0.082 L) while executing in under 5 milliseconds on lightweight web servers. This ensures explainability, fast inference, and low energy costs for smallholder farming."</w:t>
            </w:r>
          </w:p>
        </w:tc>
      </w:tr>
    </w:tbl>
    <w:p>
      <w:pPr>
        <w:spacing w:before="120" w:after="40"/>
      </w:pPr>
      <w:r>
        <w:rPr>
          <w:b/>
          <w:color w:val="1B5E20"/>
          <w:sz w:val="21"/>
        </w:rPr>
        <w:t>Q3: How does the system handle sensor failures or noisy readings in a humid greenhouse?</w:t>
      </w:r>
    </w:p>
    <w:tbl>
      <w:tblPr>
        <w:tblW w:type="auto" w:w="0"/>
        <w:jc w:val="center"/>
        <w:tblLook w:firstColumn="1" w:firstRow="1" w:lastColumn="0" w:lastRow="0" w:noHBand="0" w:noVBand="1" w:val="04A0"/>
      </w:tblPr>
      <w:tblGrid>
        <w:gridCol w:w="9936"/>
      </w:tblGrid>
      <w:tr>
        <w:tc>
          <w:tcPr>
            <w:tcW w:type="dxa" w:w="9936"/>
            <w:shd w:fill="F9FBE7"/>
            <w:tcMar>
              <w:top w:w="80" w:type="dxa"/>
              <w:bottom w:w="80" w:type="dxa"/>
              <w:left w:w="120" w:type="dxa"/>
              <w:right w:w="120" w:type="dxa"/>
            </w:tcMar>
          </w:tcPr>
          <w:p>
            <w:pPr>
              <w:spacing w:after="0"/>
            </w:pPr>
            <w:r>
              <w:rPr>
                <w:sz w:val="19"/>
              </w:rPr>
              <w:t>Winning Defense Answer:</w:t>
              <w:br/>
              <w:t>"We implemented a 3-tier fault tolerance strategy: 1) Hardware level: We deployed capacitive soil probes that eliminate galvanic corrosion and deployed non-contact ultrasonic transducers for water tanks; 2) Software level: We engineered robust 'safe_load_model' wrappers with automated mathematical fallback rules preventing crashes if data is corrupted; 3) Outlier filtering: Out-of-bounds sensor readings are clamped and flagged with visual alert badges on the dashboard."</w:t>
            </w:r>
          </w:p>
        </w:tc>
      </w:tr>
    </w:tbl>
    <w:p>
      <w:pPr>
        <w:spacing w:before="120" w:after="40"/>
      </w:pPr>
      <w:r>
        <w:rPr>
          <w:b/>
          <w:color w:val="1B5E20"/>
          <w:sz w:val="21"/>
        </w:rPr>
        <w:t>Q4: What is the significance of the Pot Overflow Cutoff mechanism?</w:t>
      </w:r>
    </w:p>
    <w:tbl>
      <w:tblPr>
        <w:tblW w:type="auto" w:w="0"/>
        <w:jc w:val="center"/>
        <w:tblLook w:firstColumn="1" w:firstRow="1" w:lastColumn="0" w:lastRow="0" w:noHBand="0" w:noVBand="1" w:val="04A0"/>
      </w:tblPr>
      <w:tblGrid>
        <w:gridCol w:w="9936"/>
      </w:tblGrid>
      <w:tr>
        <w:tc>
          <w:tcPr>
            <w:tcW w:type="dxa" w:w="9936"/>
            <w:shd w:fill="F9FBE7"/>
            <w:tcMar>
              <w:top w:w="80" w:type="dxa"/>
              <w:bottom w:w="80" w:type="dxa"/>
              <w:left w:w="120" w:type="dxa"/>
              <w:right w:w="120" w:type="dxa"/>
            </w:tcMar>
          </w:tcPr>
          <w:p>
            <w:pPr>
              <w:spacing w:after="0"/>
            </w:pPr>
            <w:r>
              <w:rPr>
                <w:sz w:val="19"/>
              </w:rPr>
              <w:t>Winning Defense Answer:</w:t>
              <w:br/>
              <w:t>"Existing agricultural IoT systems focus purely on water delivery (turning pumps ON). However, excess drainage causes waterlogging, which displaces oxygen in soil macropores and triggers fatal root hypoxia and Pythium root rot within 24–48 hours. Our closed-loop pot probe detects standing liquid (&gt;1000 ADC) and forces the pump relay OFF at 0 milliseconds, preventing crop death, water wastage, and expensive fertilizer leaching."</w:t>
            </w:r>
          </w:p>
        </w:tc>
      </w:tr>
    </w:tbl>
    <w:p>
      <w:pPr>
        <w:spacing w:before="120" w:after="40"/>
      </w:pPr>
      <w:r>
        <w:rPr>
          <w:b/>
          <w:color w:val="1B5E20"/>
          <w:sz w:val="21"/>
        </w:rPr>
        <w:t>Q5: How did you validate that real farmers can actually use this system?</w:t>
      </w:r>
    </w:p>
    <w:tbl>
      <w:tblPr>
        <w:tblW w:type="auto" w:w="0"/>
        <w:jc w:val="center"/>
        <w:tblLook w:firstColumn="1" w:firstRow="1" w:lastColumn="0" w:lastRow="0" w:noHBand="0" w:noVBand="1" w:val="04A0"/>
      </w:tblPr>
      <w:tblGrid>
        <w:gridCol w:w="9936"/>
      </w:tblGrid>
      <w:tr>
        <w:tc>
          <w:tcPr>
            <w:tcW w:type="dxa" w:w="9936"/>
            <w:shd w:fill="F9FBE7"/>
            <w:tcMar>
              <w:top w:w="80" w:type="dxa"/>
              <w:bottom w:w="80" w:type="dxa"/>
              <w:left w:w="120" w:type="dxa"/>
              <w:right w:w="120" w:type="dxa"/>
            </w:tcMar>
          </w:tcPr>
          <w:p>
            <w:pPr>
              <w:spacing w:after="0"/>
            </w:pPr>
            <w:r>
              <w:rPr>
                <w:sz w:val="19"/>
              </w:rPr>
              <w:t>Winning Defense Answer:</w:t>
              <w:br/>
              <w:t>"We conducted empirical User Acceptance Testing (UAT) and a standardized 10-item System Usability Scale (SUS) benchmark with 35 agricultural practitioners (including greenhouse farmers, agronomists, and researchers). The system achieved an outstanding mean SUS score of 90.6 out of 100 ('Grade A+ / Superior Usability') with a 97.1% task completion rate, confirming that non-technical farm operators can confidently navigate the system with minimal training."</w:t>
            </w:r>
          </w:p>
        </w:tc>
      </w:tr>
    </w:tbl>
    <w:p>
      <w:pPr>
        <w:keepNext/>
        <w:spacing w:before="240" w:after="80"/>
      </w:pPr>
      <w:r>
        <w:rPr>
          <w:b/>
          <w:color w:val="1B5E20"/>
          <w:sz w:val="30"/>
        </w:rPr>
        <w:t>4. Pre-Presentation Setup Checklist</w:t>
      </w:r>
    </w:p>
    <w:p>
      <w:pPr>
        <w:spacing w:after="60"/>
      </w:pPr>
      <w:r>
        <w:rPr>
          <w:b/>
        </w:rPr>
        <w:t xml:space="preserve">☑  </w:t>
      </w:r>
      <w:r>
        <w:t>Ensure Python Flask server is running locally: python app.py (access at http://127.0.0.1:5000/).</w:t>
      </w:r>
    </w:p>
    <w:p>
      <w:pPr>
        <w:spacing w:after="60"/>
      </w:pPr>
      <w:r>
        <w:rPr>
          <w:b/>
        </w:rPr>
        <w:t xml:space="preserve">☑  </w:t>
      </w:r>
      <w:r>
        <w:t>Open the web application in full-screen browser mode (F11) with clean zoom level (100%).</w:t>
      </w:r>
    </w:p>
    <w:p>
      <w:pPr>
        <w:spacing w:after="60"/>
      </w:pPr>
      <w:r>
        <w:rPr>
          <w:b/>
        </w:rPr>
        <w:t xml:space="preserve">☑  </w:t>
      </w:r>
      <w:r>
        <w:t>Have the PowerPoint presentation slides open and ready on Slide 1.</w:t>
      </w:r>
    </w:p>
    <w:p>
      <w:pPr>
        <w:spacing w:after="60"/>
      </w:pPr>
      <w:r>
        <w:rPr>
          <w:b/>
        </w:rPr>
        <w:t xml:space="preserve">☑  </w:t>
      </w:r>
      <w:r>
        <w:t>Keep the live demonstration tab open in a second browser window for seamless Alt+Tab switching.</w:t>
      </w:r>
    </w:p>
    <w:p>
      <w:pPr>
        <w:spacing w:after="60"/>
      </w:pPr>
      <w:r>
        <w:rPr>
          <w:b/>
        </w:rPr>
        <w:t xml:space="preserve">☑  </w:t>
      </w:r>
      <w:r>
        <w:t>Ensure your microphone and screen sharing (if presenting online or with projector) are tested in advance.</w:t>
      </w:r>
    </w:p>
    <w:p>
      <w:pPr>
        <w:spacing w:after="60"/>
      </w:pPr>
      <w:r>
        <w:rPr>
          <w:b/>
        </w:rPr>
        <w:t xml:space="preserve">☑  </w:t>
      </w:r>
      <w:r>
        <w:t>Smile, maintain steady eye contact with the examiners, speak with confidence, and enjoy showcasing your hard work!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