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EDUVA FOUNDER BIBLE v1.0</w:t>
      </w:r>
    </w:p>
    <w:p>
      <w:pPr>
        <w:pStyle w:val="Heading2"/>
      </w:pPr>
      <w:r>
        <w:t>Chapter 2 - Brand Identity &amp; Design System</w:t>
      </w:r>
    </w:p>
    <w:p>
      <w:pPr>
        <w:pStyle w:val="Heading2"/>
      </w:pPr>
      <w:r>
        <w:t>1. Brand Purpose</w:t>
      </w:r>
    </w:p>
    <w:p>
      <w:r>
        <w:t>Eduva's brand should communicate trust, simplicity, innovation and student-first learning. Every visual element must support learning, not distract from it.</w:t>
      </w:r>
    </w:p>
    <w:p>
      <w:pPr>
        <w:pStyle w:val="Heading2"/>
      </w:pPr>
      <w:r>
        <w:t>2. Brand Motto</w:t>
      </w:r>
    </w:p>
    <w:p>
      <w:r>
        <w:t>Learn Better. Grow Faster.</w:t>
      </w:r>
    </w:p>
    <w:p>
      <w:pPr>
        <w:pStyle w:val="Heading2"/>
      </w:pPr>
      <w:r>
        <w:t>3. Brand Personality</w:t>
      </w:r>
    </w:p>
    <w:p>
      <w:r>
        <w:t>• Friendly</w:t>
      </w:r>
    </w:p>
    <w:p>
      <w:r>
        <w:t>• Professional</w:t>
      </w:r>
    </w:p>
    <w:p>
      <w:r>
        <w:t>• Trustworthy</w:t>
      </w:r>
    </w:p>
    <w:p>
      <w:r>
        <w:t>• Modern</w:t>
      </w:r>
    </w:p>
    <w:p>
      <w:r>
        <w:t>• Simple</w:t>
      </w:r>
    </w:p>
    <w:p>
      <w:r>
        <w:t>• Student-focused</w:t>
      </w:r>
    </w:p>
    <w:p>
      <w:r>
        <w:t>• Innovative</w:t>
      </w:r>
    </w:p>
    <w:p>
      <w:r>
        <w:t>• Calm</w:t>
      </w:r>
    </w:p>
    <w:p>
      <w:pPr>
        <w:pStyle w:val="Heading2"/>
      </w:pPr>
      <w:r>
        <w:t>4. Official Brand Colors (Locked)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HEX</w:t>
            </w:r>
          </w:p>
        </w:tc>
      </w:tr>
      <w:tr>
        <w:tc>
          <w:tcPr>
            <w:tcW w:type="dxa" w:w="2880"/>
          </w:tcPr>
          <w:p>
            <w:r>
              <w:t>Primary</w:t>
            </w:r>
          </w:p>
        </w:tc>
        <w:tc>
          <w:tcPr>
            <w:tcW w:type="dxa" w:w="2880"/>
          </w:tcPr>
          <w:p>
            <w:r>
              <w:t>Royal Blue</w:t>
            </w:r>
          </w:p>
        </w:tc>
        <w:tc>
          <w:tcPr>
            <w:tcW w:type="dxa" w:w="2880"/>
          </w:tcPr>
          <w:p>
            <w:r>
              <w:t>#2563EB</w:t>
            </w:r>
          </w:p>
        </w:tc>
      </w:tr>
      <w:tr>
        <w:tc>
          <w:tcPr>
            <w:tcW w:type="dxa" w:w="2880"/>
          </w:tcPr>
          <w:p>
            <w:r>
              <w:t>Secondary</w:t>
            </w:r>
          </w:p>
        </w:tc>
        <w:tc>
          <w:tcPr>
            <w:tcW w:type="dxa" w:w="2880"/>
          </w:tcPr>
          <w:p>
            <w:r>
              <w:t>White</w:t>
            </w:r>
          </w:p>
        </w:tc>
        <w:tc>
          <w:tcPr>
            <w:tcW w:type="dxa" w:w="2880"/>
          </w:tcPr>
          <w:p>
            <w:r>
              <w:t>#FFFFFF</w:t>
            </w:r>
          </w:p>
        </w:tc>
      </w:tr>
      <w:tr>
        <w:tc>
          <w:tcPr>
            <w:tcW w:type="dxa" w:w="2880"/>
          </w:tcPr>
          <w:p>
            <w:r>
              <w:t>Accent</w:t>
            </w:r>
          </w:p>
        </w:tc>
        <w:tc>
          <w:tcPr>
            <w:tcW w:type="dxa" w:w="2880"/>
          </w:tcPr>
          <w:p>
            <w:r>
              <w:t>Soft Purple</w:t>
            </w:r>
          </w:p>
        </w:tc>
        <w:tc>
          <w:tcPr>
            <w:tcW w:type="dxa" w:w="2880"/>
          </w:tcPr>
          <w:p>
            <w:r>
              <w:t>#7C3AED</w:t>
            </w:r>
          </w:p>
        </w:tc>
      </w:tr>
      <w:tr>
        <w:tc>
          <w:tcPr>
            <w:tcW w:type="dxa" w:w="2880"/>
          </w:tcPr>
          <w:p>
            <w:r>
              <w:t>Background</w:t>
            </w:r>
          </w:p>
        </w:tc>
        <w:tc>
          <w:tcPr>
            <w:tcW w:type="dxa" w:w="2880"/>
          </w:tcPr>
          <w:p>
            <w:r>
              <w:t>Light Gray</w:t>
            </w:r>
          </w:p>
        </w:tc>
        <w:tc>
          <w:tcPr>
            <w:tcW w:type="dxa" w:w="2880"/>
          </w:tcPr>
          <w:p>
            <w:r>
              <w:t>#F8FAFC</w:t>
            </w:r>
          </w:p>
        </w:tc>
      </w:tr>
      <w:tr>
        <w:tc>
          <w:tcPr>
            <w:tcW w:type="dxa" w:w="2880"/>
          </w:tcPr>
          <w:p>
            <w:r>
              <w:t>Main Text</w:t>
            </w:r>
          </w:p>
        </w:tc>
        <w:tc>
          <w:tcPr>
            <w:tcW w:type="dxa" w:w="2880"/>
          </w:tcPr>
          <w:p>
            <w:r>
              <w:t>Dark Gray</w:t>
            </w:r>
          </w:p>
        </w:tc>
        <w:tc>
          <w:tcPr>
            <w:tcW w:type="dxa" w:w="2880"/>
          </w:tcPr>
          <w:p>
            <w:r>
              <w:t>#111827</w:t>
            </w:r>
          </w:p>
        </w:tc>
      </w:tr>
      <w:tr>
        <w:tc>
          <w:tcPr>
            <w:tcW w:type="dxa" w:w="2880"/>
          </w:tcPr>
          <w:p>
            <w:r>
              <w:t>Secondary Text</w:t>
            </w:r>
          </w:p>
        </w:tc>
        <w:tc>
          <w:tcPr>
            <w:tcW w:type="dxa" w:w="2880"/>
          </w:tcPr>
          <w:p>
            <w:r>
              <w:t>Gray</w:t>
            </w:r>
          </w:p>
        </w:tc>
        <w:tc>
          <w:tcPr>
            <w:tcW w:type="dxa" w:w="2880"/>
          </w:tcPr>
          <w:p>
            <w:r>
              <w:t>#6B7280</w:t>
            </w:r>
          </w:p>
        </w:tc>
      </w:tr>
      <w:tr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#22C55E</w:t>
            </w:r>
          </w:p>
        </w:tc>
      </w:tr>
      <w:tr>
        <w:tc>
          <w:tcPr>
            <w:tcW w:type="dxa" w:w="2880"/>
          </w:tcPr>
          <w:p>
            <w:r>
              <w:t>Warning</w:t>
            </w:r>
          </w:p>
        </w:tc>
        <w:tc>
          <w:tcPr>
            <w:tcW w:type="dxa" w:w="2880"/>
          </w:tcPr>
          <w:p>
            <w:r>
              <w:t>Orange</w:t>
            </w:r>
          </w:p>
        </w:tc>
        <w:tc>
          <w:tcPr>
            <w:tcW w:type="dxa" w:w="2880"/>
          </w:tcPr>
          <w:p>
            <w:r>
              <w:t>#F59E0B</w:t>
            </w:r>
          </w:p>
        </w:tc>
      </w:tr>
      <w:tr>
        <w:tc>
          <w:tcPr>
            <w:tcW w:type="dxa" w:w="2880"/>
          </w:tcPr>
          <w:p>
            <w:r>
              <w:t>Error</w:t>
            </w:r>
          </w:p>
        </w:tc>
        <w:tc>
          <w:tcPr>
            <w:tcW w:type="dxa" w:w="2880"/>
          </w:tcPr>
          <w:p>
            <w:r>
              <w:t>Red</w:t>
            </w:r>
          </w:p>
        </w:tc>
        <w:tc>
          <w:tcPr>
            <w:tcW w:type="dxa" w:w="2880"/>
          </w:tcPr>
          <w:p>
            <w:r>
              <w:t>#EF4444</w:t>
            </w:r>
          </w:p>
        </w:tc>
      </w:tr>
    </w:tbl>
    <w:p>
      <w:pPr>
        <w:pStyle w:val="Heading2"/>
      </w:pPr>
      <w:r>
        <w:t>5. Subject Colors</w:t>
      </w:r>
    </w:p>
    <w:p>
      <w:r>
        <w:t>• Maths - Blue</w:t>
      </w:r>
    </w:p>
    <w:p>
      <w:r>
        <w:t>• Physics - Purple</w:t>
      </w:r>
    </w:p>
    <w:p>
      <w:r>
        <w:t>• Biology - Green</w:t>
      </w:r>
    </w:p>
    <w:p>
      <w:r>
        <w:t>• Chemistry - Orange</w:t>
      </w:r>
    </w:p>
    <w:p>
      <w:r>
        <w:t>• English - Yellow</w:t>
      </w:r>
    </w:p>
    <w:p>
      <w:r>
        <w:t>• Computer Science - Cyan</w:t>
      </w:r>
    </w:p>
    <w:p>
      <w:pPr>
        <w:pStyle w:val="Heading2"/>
      </w:pPr>
      <w:r>
        <w:t>6. Design Principles</w:t>
      </w:r>
    </w:p>
    <w:p>
      <w:r>
        <w:t>• 80% White, 15% Blue, 5% Purple</w:t>
      </w:r>
    </w:p>
    <w:p>
      <w:r>
        <w:t>• Content over Decoration</w:t>
      </w:r>
    </w:p>
    <w:p>
      <w:r>
        <w:t>• Large whiteboard for teaching</w:t>
      </w:r>
    </w:p>
    <w:p>
      <w:r>
        <w:t>• Rounded cards and buttons</w:t>
      </w:r>
    </w:p>
    <w:p>
      <w:r>
        <w:t>• Consistent spacing</w:t>
      </w:r>
    </w:p>
    <w:p>
      <w:r>
        <w:t>• Readable typography</w:t>
      </w:r>
    </w:p>
    <w:p>
      <w:r>
        <w:t>• Minimal distractions</w:t>
      </w:r>
    </w:p>
    <w:p>
      <w:pPr>
        <w:pStyle w:val="Heading2"/>
      </w:pPr>
      <w:r>
        <w:t>7. Edu Sir Visual Identity</w:t>
      </w:r>
    </w:p>
    <w:p>
      <w:r>
        <w:t>Edu Sir should appear as a young, energetic teacher with a clean, approachable appearance. Branding should be subtle and premium.</w:t>
      </w:r>
    </w:p>
    <w:p>
      <w:pPr>
        <w:pStyle w:val="Heading2"/>
      </w:pPr>
      <w:r>
        <w:t>8. Logo Guidelines</w:t>
      </w:r>
    </w:p>
    <w:p>
      <w:r>
        <w:t>The EDUVA logo should appear consistently on splash screen, login, home and classroom screens. Avoid unnecessary effects or frequent redesigns.</w:t>
      </w:r>
    </w:p>
    <w:p>
      <w:pPr>
        <w:pStyle w:val="Heading2"/>
      </w:pPr>
      <w:r>
        <w:t>9. Brand Promise</w:t>
      </w:r>
    </w:p>
    <w:p>
      <w:r>
        <w:t>Every screen should instantly feel like Eduva through consistent colors, typography, icons and layout.</w:t>
      </w:r>
    </w:p>
    <w:p>
      <w:pPr>
        <w:pStyle w:val="Heading2"/>
      </w:pPr>
      <w:r>
        <w:t>10. Chapter Summary</w:t>
      </w:r>
    </w:p>
    <w:p>
      <w:r>
        <w:t>This chapter defines the visual identity of Eduva and ensures consistency across every screen and future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