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Final Chapters 17–20 (Foundation Edition)</w:t>
      </w:r>
    </w:p>
    <w:p>
      <w:pPr>
        <w:pStyle w:val="Heading2"/>
      </w:pPr>
      <w:r>
        <w:t>Chapter 17 – Governance &amp; Policies</w:t>
      </w:r>
    </w:p>
    <w:p>
      <w:pPr>
        <w:pStyle w:val="ListBullet"/>
      </w:pPr>
      <w:r>
        <w:t>Student First policy</w:t>
      </w:r>
    </w:p>
    <w:p>
      <w:pPr>
        <w:pStyle w:val="ListBullet"/>
      </w:pPr>
      <w:r>
        <w:t>Privacy &amp; data protection</w:t>
      </w:r>
    </w:p>
    <w:p>
      <w:pPr>
        <w:pStyle w:val="ListBullet"/>
      </w:pPr>
      <w:r>
        <w:t>Content approval policy</w:t>
      </w:r>
    </w:p>
    <w:p>
      <w:pPr>
        <w:pStyle w:val="ListBullet"/>
      </w:pPr>
      <w:r>
        <w:t>AI ethics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Document governance</w:t>
      </w:r>
    </w:p>
    <w:p>
      <w:r>
        <w:t>Final Principle: Every decision in this chapter must strengthen learning, trust, and long-term educational impact.</w:t>
      </w:r>
    </w:p>
    <w:p>
      <w:pPr>
        <w:pStyle w:val="Heading2"/>
      </w:pPr>
      <w:r>
        <w:t>Chapter 18 – Innovation &amp; Research</w:t>
      </w:r>
    </w:p>
    <w:p>
      <w:pPr>
        <w:pStyle w:val="ListBullet"/>
      </w:pPr>
      <w:r>
        <w:t>AI research roadmap</w:t>
      </w:r>
    </w:p>
    <w:p>
      <w:pPr>
        <w:pStyle w:val="ListBullet"/>
      </w:pPr>
      <w:r>
        <w:t>New learning technologies</w:t>
      </w:r>
    </w:p>
    <w:p>
      <w:pPr>
        <w:pStyle w:val="ListBullet"/>
      </w:pPr>
      <w:r>
        <w:t>AR/VR exploration</w:t>
      </w:r>
    </w:p>
    <w:p>
      <w:pPr>
        <w:pStyle w:val="ListBullet"/>
      </w:pPr>
      <w:r>
        <w:t>Continuous experimentation</w:t>
      </w:r>
    </w:p>
    <w:p>
      <w:pPr>
        <w:pStyle w:val="ListBullet"/>
      </w:pPr>
      <w:r>
        <w:t>Measure educational impact</w:t>
      </w:r>
    </w:p>
    <w:p>
      <w:r>
        <w:t>Final Principle: Every decision in this chapter must strengthen learning, trust, and long-term educational impact.</w:t>
      </w:r>
    </w:p>
    <w:p>
      <w:pPr>
        <w:pStyle w:val="Heading2"/>
      </w:pPr>
      <w:r>
        <w:t>Chapter 19 – Global Expansion</w:t>
      </w:r>
    </w:p>
    <w:p>
      <w:pPr>
        <w:pStyle w:val="ListBullet"/>
      </w:pPr>
      <w:r>
        <w:t>Multi-language strategy</w:t>
      </w:r>
    </w:p>
    <w:p>
      <w:pPr>
        <w:pStyle w:val="ListBullet"/>
      </w:pPr>
      <w:r>
        <w:t>Regional curriculum support</w:t>
      </w:r>
    </w:p>
    <w:p>
      <w:pPr>
        <w:pStyle w:val="ListBullet"/>
      </w:pPr>
      <w:r>
        <w:t>International partnerships</w:t>
      </w:r>
    </w:p>
    <w:p>
      <w:pPr>
        <w:pStyle w:val="ListBullet"/>
      </w:pPr>
      <w:r>
        <w:t>Localization standards</w:t>
      </w:r>
    </w:p>
    <w:p>
      <w:pPr>
        <w:pStyle w:val="ListBullet"/>
      </w:pPr>
      <w:r>
        <w:t>Global accessibility</w:t>
      </w:r>
    </w:p>
    <w:p>
      <w:r>
        <w:t>Final Principle: Every decision in this chapter must strengthen learning, trust, and long-term educational impact.</w:t>
      </w:r>
    </w:p>
    <w:p>
      <w:pPr>
        <w:pStyle w:val="Heading2"/>
      </w:pPr>
      <w:r>
        <w:t>Chapter 20 – Founder Legacy &amp; Long-Term Vision</w:t>
      </w:r>
    </w:p>
    <w:p>
      <w:pPr>
        <w:pStyle w:val="ListBullet"/>
      </w:pPr>
      <w:r>
        <w:t>10-year vision</w:t>
      </w:r>
    </w:p>
    <w:p>
      <w:pPr>
        <w:pStyle w:val="ListBullet"/>
      </w:pPr>
      <w:r>
        <w:t>100 million learners goal framework</w:t>
      </w:r>
    </w:p>
    <w:p>
      <w:pPr>
        <w:pStyle w:val="ListBullet"/>
      </w:pPr>
      <w:r>
        <w:t>Quality over growth</w:t>
      </w:r>
    </w:p>
    <w:p>
      <w:pPr>
        <w:pStyle w:val="ListBullet"/>
      </w:pPr>
      <w:r>
        <w:t>Trust before revenue</w:t>
      </w:r>
    </w:p>
    <w:p>
      <w:pPr>
        <w:pStyle w:val="ListBullet"/>
      </w:pPr>
      <w:r>
        <w:t>Never compromise student learning</w:t>
      </w:r>
    </w:p>
    <w:p>
      <w:pPr>
        <w:pStyle w:val="ListBullet"/>
      </w:pPr>
      <w:r>
        <w:t>Founder principles remain the core of Eduva</w:t>
      </w:r>
    </w:p>
    <w:p>
      <w:r>
        <w:t>Final Principle: Every decision in this chapter must strengthen learning, trust, and long-term educational impact.</w:t>
      </w:r>
    </w:p>
    <w:p>
      <w:pPr>
        <w:pStyle w:val="Heading2"/>
      </w:pPr>
      <w:r>
        <w:t>Founder Bible Completion</w:t>
      </w:r>
    </w:p>
    <w:p>
      <w:r>
        <w:t>With Chapters 1–20, the Foundation Edition defines Eduva's vision, product, AI, engineering, operations, governance, and long-term direction. Future versions should expand each chapter with implementation details, diagrams, SOPs, and technical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