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80"/>
        </w:rPr>
        <w:t>PFUMA</w:t>
      </w:r>
    </w:p>
    <w:p>
      <w:pPr>
        <w:jc w:val="center"/>
      </w:pPr>
      <w:r>
        <w:rPr>
          <w:b/>
          <w:color w:val="212121"/>
          <w:sz w:val="36"/>
        </w:rPr>
        <w:t>Commercialization &amp; National Infrastructure Requirements</w:t>
      </w:r>
    </w:p>
    <w:p>
      <w:pPr>
        <w:jc w:val="center"/>
      </w:pPr>
      <w:r>
        <w:rPr>
          <w:i/>
          <w:color w:val="606060"/>
          <w:sz w:val="22"/>
        </w:rPr>
        <w:t>Software integrations, VPS/server/GPU specifications, and budget justification</w:t>
        <w:br/>
        <w:t>for scaling from Zimbabwe Agricultural Show pilot to national production platform</w:t>
      </w:r>
    </w:p>
    <w:p/>
    <w:p>
      <w:pPr>
        <w:jc w:val="center"/>
      </w:pPr>
      <w:r>
        <w:rPr>
          <w:color w:val="606060"/>
          <w:sz w:val="21"/>
        </w:rPr>
        <w:t>Prepared by Team GRIWD</w:t>
        <w:br/>
        <w:t>For: TelOne partnership &amp; Ministry of Information Communication Technology, Postal and Courier Services</w:t>
        <w:br/>
        <w:t>Zimbabwe Agricultural Show 2026</w:t>
        <w:br/>
        <w:t>Prepared: 1 September 2026</w:t>
      </w:r>
    </w:p>
    <w:p>
      <w:r>
        <w:br w:type="page"/>
      </w:r>
    </w:p>
    <w:p>
      <w:pPr>
        <w:pStyle w:val="Heading1"/>
      </w:pPr>
      <w:r>
        <w:rPr>
          <w:color w:val="1B5E20"/>
          <w:sz w:val="32"/>
        </w:rPr>
        <w:t>Executive Summary</w:t>
      </w:r>
    </w:p>
    <w:p>
      <w:r>
        <w:rPr>
          <w:b w:val="0"/>
          <w:i w:val="0"/>
          <w:sz w:val="21"/>
        </w:rPr>
        <w:t>PFUMA launched at the Zimbabwe Agricultural Show 2026 as a working pilot: a single VPS, a single MySQL instance, and a Flask backend serving a web app and Expo mobile app to a limited group of Farmers, Veterinarians, Suppliers, Buyers, and Police accounts. It was built to prove the model — verified livestock ownership, police-gated sales, vet-linked health records, and a functioning IoT collar/base-station prototype (CN-01/BS-01).</w:t>
      </w:r>
    </w:p>
    <w:p>
      <w:r>
        <w:rPr>
          <w:b w:val="0"/>
          <w:i w:val="0"/>
          <w:sz w:val="21"/>
        </w:rPr>
        <w:t>That pilot drew direct interest from Ministers, CEOs, MPs, and a Secretary at the show, and a firm offer of infrastructure partnership from TelOne plus funding interest from the Minister of ICT, Postal and Courier Services. This document exists to convert that interest into a concrete, fundable engineering plan: exactly which external data sources and APIs PFUMA needs to fuse with, exactly what server/database/GPU infrastructure a national-scale rollout requires, and how to size and justify that infrastructure spend in phases rather than as one unqualified number.</w:t>
      </w:r>
    </w:p>
    <w:p>
      <w:r>
        <w:rPr>
          <w:b w:val="0"/>
          <w:i/>
          <w:sz w:val="21"/>
        </w:rPr>
        <w:t>The guiding principle throughout is: request what the workload actually justifies, phased to actual user growth, not a single oversized capex ask that is hard to defend line-by-line. Every specification below is tied to a stated user-count assumption and a stated reason.</w:t>
      </w:r>
    </w:p>
    <w:p>
      <w:pPr>
        <w:pStyle w:val="Heading1"/>
      </w:pPr>
      <w:r>
        <w:rPr>
          <w:color w:val="1B5E20"/>
          <w:sz w:val="32"/>
        </w:rPr>
        <w:t>Section 1 — Software &amp; Data Integrations Required</w:t>
      </w:r>
    </w:p>
    <w:p>
      <w:r>
        <w:rPr>
          <w:b w:val="0"/>
          <w:i w:val="0"/>
          <w:sz w:val="21"/>
        </w:rPr>
        <w:t>PFUMA's core tables already model every stakeholder this section fuses with — users carries role-specific fields (license_number for Vets, badge_number/station for Police, national_id_number for everyone) but those fields are today self-reported at signup, not verified against the authoritative government or institutional source. Commercialization means closing that gap: turning self-reported data into verified data by fusing with the real registries. This is the single biggest credibility upgrade available, and it's why the admin panel import/fusion tooling in Section 5 matters — most of these integrations will start as a bulk data import maintained by an admin, before (if ever) a live API relationship exists.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1B5E20"/>
          </w:tcPr>
          <w:p>
            <w:r/>
            <w:r>
              <w:rPr>
                <w:b/>
                <w:color w:val="FFFFFF"/>
                <w:sz w:val="19"/>
              </w:rPr>
              <w:t>#</w:t>
            </w:r>
          </w:p>
        </w:tc>
        <w:tc>
          <w:tcPr>
            <w:tcW w:type="dxa" w:w="1872"/>
            <w:shd w:fill="1B5E20"/>
          </w:tcPr>
          <w:p>
            <w:r/>
            <w:r>
              <w:rPr>
                <w:b/>
                <w:color w:val="FFFFFF"/>
                <w:sz w:val="19"/>
              </w:rPr>
              <w:t>Integration</w:t>
            </w:r>
          </w:p>
        </w:tc>
        <w:tc>
          <w:tcPr>
            <w:tcW w:type="dxa" w:w="2736"/>
            <w:shd w:fill="1B5E20"/>
          </w:tcPr>
          <w:p>
            <w:r/>
            <w:r>
              <w:rPr>
                <w:b/>
                <w:color w:val="FFFFFF"/>
                <w:sz w:val="19"/>
              </w:rPr>
              <w:t>Purpose</w:t>
            </w:r>
          </w:p>
        </w:tc>
        <w:tc>
          <w:tcPr>
            <w:tcW w:type="dxa" w:w="2880"/>
            <w:shd w:fill="1B5E20"/>
          </w:tcPr>
          <w:p>
            <w:r/>
            <w:r>
              <w:rPr>
                <w:b/>
                <w:color w:val="FFFFFF"/>
                <w:sz w:val="19"/>
              </w:rPr>
              <w:t>What's needed</w:t>
            </w:r>
          </w:p>
        </w:tc>
        <w:tc>
          <w:tcPr>
            <w:tcW w:type="dxa" w:w="2448"/>
            <w:shd w:fill="1B5E20"/>
          </w:tcPr>
          <w:p>
            <w:r/>
            <w:r>
              <w:rPr>
                <w:b/>
                <w:color w:val="FFFFFF"/>
                <w:sz w:val="19"/>
              </w:rPr>
              <w:t>Current PFUMA status</w:t>
            </w:r>
          </w:p>
        </w:tc>
      </w:tr>
      <w:tr>
        <w:tc>
          <w:tcPr>
            <w:tcW w:type="dxa" w:w="432"/>
          </w:tcPr>
          <w:p>
            <w:r/>
            <w:r>
              <w:rPr>
                <w:sz w:val="19"/>
              </w:rPr>
              <w:t>1</w:t>
            </w:r>
          </w:p>
        </w:tc>
        <w:tc>
          <w:tcPr>
            <w:tcW w:type="dxa" w:w="1872"/>
          </w:tcPr>
          <w:p>
            <w:r/>
            <w:r>
              <w:rPr>
                <w:sz w:val="19"/>
              </w:rPr>
              <w:t>DVS / CVSZ vet registry</w:t>
            </w:r>
          </w:p>
        </w:tc>
        <w:tc>
          <w:tcPr>
            <w:tcW w:type="dxa" w:w="2736"/>
          </w:tcPr>
          <w:p>
            <w:r/>
            <w:r>
              <w:rPr>
                <w:sz w:val="19"/>
              </w:rPr>
              <w:t>Auto-verify Veterinarian signups against real licence numbers; power the "find nearest vet by province/district" directory requested at the show</w:t>
            </w:r>
          </w:p>
        </w:tc>
        <w:tc>
          <w:tcPr>
            <w:tcW w:type="dxa" w:w="2880"/>
          </w:tcPr>
          <w:p>
            <w:r/>
            <w:r>
              <w:rPr>
                <w:sz w:val="19"/>
              </w:rPr>
              <w:t>Bulk export or API from the Council of Veterinary Surgeons of Zimbabwe / Dept. of Veterinary Services listing licensed vets, licence numbers, and station/district</w:t>
            </w:r>
          </w:p>
        </w:tc>
        <w:tc>
          <w:tcPr>
            <w:tcW w:type="dxa" w:w="2448"/>
          </w:tcPr>
          <w:p>
            <w:r/>
            <w:r>
              <w:rPr>
                <w:sz w:val="19"/>
              </w:rPr>
              <w:t>license_number is a free-text field, not checked against any registry</w:t>
            </w:r>
          </w:p>
        </w:tc>
      </w:tr>
      <w:tr>
        <w:tc>
          <w:tcPr>
            <w:tcW w:type="dxa" w:w="432"/>
          </w:tcPr>
          <w:p>
            <w:r/>
            <w:r>
              <w:rPr>
                <w:sz w:val="19"/>
              </w:rPr>
              <w:t>2</w:t>
            </w:r>
          </w:p>
        </w:tc>
        <w:tc>
          <w:tcPr>
            <w:tcW w:type="dxa" w:w="1872"/>
          </w:tcPr>
          <w:p>
            <w:r/>
            <w:r>
              <w:rPr>
                <w:sz w:val="19"/>
              </w:rPr>
              <w:t>ZRP / Police roster</w:t>
            </w:r>
          </w:p>
        </w:tc>
        <w:tc>
          <w:tcPr>
            <w:tcW w:type="dxa" w:w="2736"/>
          </w:tcPr>
          <w:p>
            <w:r/>
            <w:r>
              <w:rPr>
                <w:sz w:val="19"/>
              </w:rPr>
              <w:t>Verify badge_number and station against a real roster instead of trusting self-reported entry</w:t>
            </w:r>
          </w:p>
        </w:tc>
        <w:tc>
          <w:tcPr>
            <w:tcW w:type="dxa" w:w="2880"/>
          </w:tcPr>
          <w:p>
            <w:r/>
            <w:r>
              <w:rPr>
                <w:sz w:val="19"/>
              </w:rPr>
              <w:t>A formal ZRP liaison, or at minimum an admin-maintained roster import</w:t>
            </w:r>
          </w:p>
        </w:tc>
        <w:tc>
          <w:tcPr>
            <w:tcW w:type="dxa" w:w="2448"/>
          </w:tcPr>
          <w:p>
            <w:r/>
            <w:r>
              <w:rPr>
                <w:sz w:val="19"/>
              </w:rPr>
              <w:t>badge_number/station are self-reported at signup</w:t>
            </w:r>
          </w:p>
        </w:tc>
      </w:tr>
      <w:tr>
        <w:tc>
          <w:tcPr>
            <w:tcW w:type="dxa" w:w="432"/>
          </w:tcPr>
          <w:p>
            <w:r/>
            <w:r>
              <w:rPr>
                <w:sz w:val="19"/>
              </w:rPr>
              <w:t>3</w:t>
            </w:r>
          </w:p>
        </w:tc>
        <w:tc>
          <w:tcPr>
            <w:tcW w:type="dxa" w:w="1872"/>
          </w:tcPr>
          <w:p>
            <w:r/>
            <w:r>
              <w:rPr>
                <w:sz w:val="19"/>
              </w:rPr>
              <w:t>National ID verification (Registrar-General / NRB)</w:t>
            </w:r>
          </w:p>
        </w:tc>
        <w:tc>
          <w:tcPr>
            <w:tcW w:type="dxa" w:w="2736"/>
          </w:tcPr>
          <w:p>
            <w:r/>
            <w:r>
              <w:rPr>
                <w:sz w:val="19"/>
              </w:rPr>
              <w:t>Real KYC — the single highest-leverage integration. Underpins bank/insurer trust in the platform AND is required for next-of-kin identity verification</w:t>
            </w:r>
          </w:p>
        </w:tc>
        <w:tc>
          <w:tcPr>
            <w:tcW w:type="dxa" w:w="2880"/>
          </w:tcPr>
          <w:p>
            <w:r/>
            <w:r>
              <w:rPr>
                <w:sz w:val="19"/>
              </w:rPr>
              <w:t>A verification API or batch-lookup arrangement with the Registrar-General's office / National Registration</w:t>
            </w:r>
          </w:p>
        </w:tc>
        <w:tc>
          <w:tcPr>
            <w:tcW w:type="dxa" w:w="2448"/>
          </w:tcPr>
          <w:p>
            <w:r/>
            <w:r>
              <w:rPr>
                <w:sz w:val="19"/>
              </w:rPr>
              <w:t>national_id_number is format-checked only (e.g. 63-1234567A00 pattern), never verified as real</w:t>
            </w:r>
          </w:p>
        </w:tc>
      </w:tr>
      <w:tr>
        <w:tc>
          <w:tcPr>
            <w:tcW w:type="dxa" w:w="432"/>
          </w:tcPr>
          <w:p>
            <w:r/>
            <w:r>
              <w:rPr>
                <w:sz w:val="19"/>
              </w:rPr>
              <w:t>4</w:t>
            </w:r>
          </w:p>
        </w:tc>
        <w:tc>
          <w:tcPr>
            <w:tcW w:type="dxa" w:w="1872"/>
          </w:tcPr>
          <w:p>
            <w:r/>
            <w:r>
              <w:rPr>
                <w:sz w:val="19"/>
              </w:rPr>
              <w:t>Banking / insurance (collateral use case)</w:t>
            </w:r>
          </w:p>
        </w:tc>
        <w:tc>
          <w:tcPr>
            <w:tcW w:type="dxa" w:w="2736"/>
          </w:tcPr>
          <w:p>
            <w:r/>
            <w:r>
              <w:rPr>
                <w:sz w:val="19"/>
              </w:rPr>
              <w:t>Let a farmer present verified livestock value as loan/insurance collateral</w:t>
            </w:r>
          </w:p>
        </w:tc>
        <w:tc>
          <w:tcPr>
            <w:tcW w:type="dxa" w:w="2880"/>
          </w:tcPr>
          <w:p>
            <w:r/>
            <w:r>
              <w:rPr>
                <w:sz w:val="19"/>
              </w:rPr>
              <w:t>v1 needs no live API: PFUMA issues a signed, QR-verifiable Livestock Valuation Certificate a loan officer can check online. v2: a real open-banking style API with a partner bank</w:t>
            </w:r>
          </w:p>
        </w:tc>
        <w:tc>
          <w:tcPr>
            <w:tcW w:type="dxa" w:w="2448"/>
          </w:tcPr>
          <w:p>
            <w:r/>
            <w:r>
              <w:rPr>
                <w:sz w:val="19"/>
              </w:rPr>
              <w:t>Not built. cost_to_date and current_weight already exist as valuation inputs</w:t>
            </w:r>
          </w:p>
        </w:tc>
      </w:tr>
      <w:tr>
        <w:tc>
          <w:tcPr>
            <w:tcW w:type="dxa" w:w="432"/>
          </w:tcPr>
          <w:p>
            <w:r/>
            <w:r>
              <w:rPr>
                <w:sz w:val="19"/>
              </w:rPr>
              <w:t>5</w:t>
            </w:r>
          </w:p>
        </w:tc>
        <w:tc>
          <w:tcPr>
            <w:tcW w:type="dxa" w:w="1872"/>
          </w:tcPr>
          <w:p>
            <w:r/>
            <w:r>
              <w:rPr>
                <w:sz w:val="19"/>
              </w:rPr>
              <w:t>Payment gateway</w:t>
            </w:r>
          </w:p>
        </w:tc>
        <w:tc>
          <w:tcPr>
            <w:tcW w:type="dxa" w:w="2736"/>
          </w:tcPr>
          <w:p>
            <w:r/>
            <w:r>
              <w:rPr>
                <w:sz w:val="19"/>
              </w:rPr>
              <w:t>Monetization — sponsored/featured listings, premium supplier tiers</w:t>
            </w:r>
          </w:p>
        </w:tc>
        <w:tc>
          <w:tcPr>
            <w:tcW w:type="dxa" w:w="2880"/>
          </w:tcPr>
          <w:p>
            <w:r/>
            <w:r>
              <w:rPr>
                <w:sz w:val="19"/>
              </w:rPr>
              <w:t>EcoCash Merchant API (dominant rail in Zimbabwe); OneMoney is a natural first choice given the TelOne relationship; Zimswitch/card rails as v2</w:t>
            </w:r>
          </w:p>
        </w:tc>
        <w:tc>
          <w:tcPr>
            <w:tcW w:type="dxa" w:w="2448"/>
          </w:tcPr>
          <w:p>
            <w:r/>
            <w:r>
              <w:rPr>
                <w:sz w:val="19"/>
              </w:rPr>
              <w:t>Not built — no payment flow exists yet</w:t>
            </w:r>
          </w:p>
        </w:tc>
      </w:tr>
      <w:tr>
        <w:tc>
          <w:tcPr>
            <w:tcW w:type="dxa" w:w="432"/>
          </w:tcPr>
          <w:p>
            <w:r/>
            <w:r>
              <w:rPr>
                <w:sz w:val="19"/>
              </w:rPr>
              <w:t>6</w:t>
            </w:r>
          </w:p>
        </w:tc>
        <w:tc>
          <w:tcPr>
            <w:tcW w:type="dxa" w:w="1872"/>
          </w:tcPr>
          <w:p>
            <w:r/>
            <w:r>
              <w:rPr>
                <w:sz w:val="19"/>
              </w:rPr>
              <w:t>Bulk SMS gateway</w:t>
            </w:r>
          </w:p>
        </w:tc>
        <w:tc>
          <w:tcPr>
            <w:tcW w:type="dxa" w:w="2736"/>
          </w:tcPr>
          <w:p>
            <w:r/>
            <w:r>
              <w:rPr>
                <w:sz w:val="19"/>
              </w:rPr>
              <w:t>Outbreak alerts and DVS/vet broadcasts reaching farmers with no smartphone or data — the highest-impact channel for the disease-alert feature</w:t>
            </w:r>
          </w:p>
        </w:tc>
        <w:tc>
          <w:tcPr>
            <w:tcW w:type="dxa" w:w="2880"/>
          </w:tcPr>
          <w:p>
            <w:r/>
            <w:r>
              <w:rPr>
                <w:sz w:val="19"/>
              </w:rPr>
              <w:t>TelOne or Econet bulk SMS API, billed per-message</w:t>
            </w:r>
          </w:p>
        </w:tc>
        <w:tc>
          <w:tcPr>
            <w:tcW w:type="dxa" w:w="2448"/>
          </w:tcPr>
          <w:p>
            <w:r/>
            <w:r>
              <w:rPr>
                <w:sz w:val="19"/>
              </w:rPr>
              <w:t>Not built — notifications only reach the in-app inbox today</w:t>
            </w:r>
          </w:p>
        </w:tc>
      </w:tr>
      <w:tr>
        <w:tc>
          <w:tcPr>
            <w:tcW w:type="dxa" w:w="432"/>
          </w:tcPr>
          <w:p>
            <w:r/>
            <w:r>
              <w:rPr>
                <w:sz w:val="19"/>
              </w:rPr>
              <w:t>7</w:t>
            </w:r>
          </w:p>
        </w:tc>
        <w:tc>
          <w:tcPr>
            <w:tcW w:type="dxa" w:w="1872"/>
          </w:tcPr>
          <w:p>
            <w:r/>
            <w:r>
              <w:rPr>
                <w:sz w:val="19"/>
              </w:rPr>
              <w:t>WhatsApp Business API</w:t>
            </w:r>
          </w:p>
        </w:tc>
        <w:tc>
          <w:tcPr>
            <w:tcW w:type="dxa" w:w="2736"/>
          </w:tcPr>
          <w:p>
            <w:r/>
            <w:r>
              <w:rPr>
                <w:sz w:val="19"/>
              </w:rPr>
              <w:t>Directly matches the CEO's suggestion: reach farmers through existing DVS/police WhatsApp groups</w:t>
            </w:r>
          </w:p>
        </w:tc>
        <w:tc>
          <w:tcPr>
            <w:tcW w:type="dxa" w:w="2880"/>
          </w:tcPr>
          <w:p>
            <w:r/>
            <w:r>
              <w:rPr>
                <w:sz w:val="19"/>
              </w:rPr>
              <w:t>Meta Business verification, or via a BSP (Twilio, Infobip, or a TelOne-partnered provider)</w:t>
            </w:r>
          </w:p>
        </w:tc>
        <w:tc>
          <w:tcPr>
            <w:tcW w:type="dxa" w:w="2448"/>
          </w:tcPr>
          <w:p>
            <w:r/>
            <w:r>
              <w:rPr>
                <w:sz w:val="19"/>
              </w:rPr>
              <w:t>Not built</w:t>
            </w:r>
          </w:p>
        </w:tc>
      </w:tr>
      <w:tr>
        <w:tc>
          <w:tcPr>
            <w:tcW w:type="dxa" w:w="432"/>
          </w:tcPr>
          <w:p>
            <w:r/>
            <w:r>
              <w:rPr>
                <w:sz w:val="19"/>
              </w:rPr>
              <w:t>8</w:t>
            </w:r>
          </w:p>
        </w:tc>
        <w:tc>
          <w:tcPr>
            <w:tcW w:type="dxa" w:w="1872"/>
          </w:tcPr>
          <w:p>
            <w:r/>
            <w:r>
              <w:rPr>
                <w:sz w:val="19"/>
              </w:rPr>
              <w:t>TelOne infrastructure &amp; connectivity</w:t>
            </w:r>
          </w:p>
        </w:tc>
        <w:tc>
          <w:tcPr>
            <w:tcW w:type="dxa" w:w="2736"/>
          </w:tcPr>
          <w:p>
            <w:r/>
            <w:r>
              <w:rPr>
                <w:sz w:val="19"/>
              </w:rPr>
              <w:t>Hosting, IP transit/bandwidth, and — separately — LTE SIM provisioning for BS-01 base-station field units</w:t>
            </w:r>
          </w:p>
        </w:tc>
        <w:tc>
          <w:tcPr>
            <w:tcW w:type="dxa" w:w="2880"/>
          </w:tcPr>
          <w:p>
            <w:r/>
            <w:r>
              <w:rPr>
                <w:sz w:val="19"/>
              </w:rPr>
              <w:t>Formal hosting/colocation agreement; SIM/APN account for IoT connectivity</w:t>
            </w:r>
          </w:p>
        </w:tc>
        <w:tc>
          <w:tcPr>
            <w:tcW w:type="dxa" w:w="2448"/>
          </w:tcPr>
          <w:p>
            <w:r/>
            <w:r>
              <w:rPr>
                <w:sz w:val="19"/>
              </w:rPr>
              <w:t>Currently hosted on a single GRIWD-provisioned VPS</w:t>
            </w:r>
          </w:p>
        </w:tc>
      </w:tr>
    </w:tbl>
    <w:p/>
    <w:p>
      <w:r>
        <w:rPr>
          <w:b w:val="0"/>
          <w:i/>
          <w:sz w:val="21"/>
        </w:rPr>
        <w:t>Recommended sequencing: #6 and #7 (SMS + WhatsApp) are the fastest to stand up and are what makes the disease-outbreak broadcast feature (Section 6 of the feature roadmap) actually reach farmers in the field — prioritize those first. #1–#3 (registry verification) are partnership-gated and should be pursued in parallel starting now, since government-to-government data-sharing agreements take the longest lead time regardless of engineering readiness.</w:t>
      </w:r>
    </w:p>
    <w:p>
      <w:pPr>
        <w:pStyle w:val="Heading1"/>
      </w:pPr>
      <w:r>
        <w:rPr>
          <w:color w:val="1B5E20"/>
          <w:sz w:val="32"/>
        </w:rPr>
        <w:t>Section 2 — VPS / Server Infrastructure Requirements</w:t>
      </w:r>
    </w:p>
    <w:p>
      <w:r>
        <w:rPr>
          <w:b w:val="0"/>
          <w:i w:val="0"/>
          <w:sz w:val="21"/>
        </w:rPr>
        <w:t>The pilot runs on a single VPS with a local MySQL instance and no read replica, cache layer, or automated failover — adequate for a show demo, not for a platform onboarding farmers, vets, suppliers, buyers, and police nationally. The specification below is phased to three growth stages so the ask can be justified against actual adoption rather than requested all at once.</w:t>
      </w:r>
    </w:p>
    <w:p>
      <w:pPr>
        <w:pStyle w:val="Heading2"/>
      </w:pPr>
      <w:r>
        <w:rPr>
          <w:color w:val="212121"/>
          <w:sz w:val="26"/>
        </w:rPr>
        <w:t>2.1 Target architecture (from Phase 1 onward)</w:t>
      </w:r>
    </w:p>
    <w:p>
      <w:pPr>
        <w:pStyle w:val="ListBullet"/>
      </w:pPr>
      <w:r>
        <w:t>Load balancer (HAProxy or Nginx), 2× for redundancy — routes traffic to application servers, terminates TLS</w:t>
      </w:r>
    </w:p>
    <w:p>
      <w:pPr>
        <w:pStyle w:val="ListBullet"/>
      </w:pPr>
      <w:r>
        <w:t>Application tier — Flask served via Gunicorn behind the load balancer, containerized (Docker) so instances scale horizontally as load grows</w:t>
      </w:r>
    </w:p>
    <w:p>
      <w:pPr>
        <w:pStyle w:val="ListBullet"/>
      </w:pPr>
      <w:r>
        <w:t>Database tier — MySQL/MariaDB with one primary + at least one read replica; replica absorbs admin/reporting/trend-dashboard queries so they never compete with live farmer/vet traffic</w:t>
      </w:r>
    </w:p>
    <w:p>
      <w:pPr>
        <w:pStyle w:val="ListBullet"/>
      </w:pPr>
      <w:r>
        <w:t>Cache &amp; job queue — Redis, for session storage and for the background job queue that fans out outbreak-alert notifications/SMS to thousands of farmers without blocking the request that triggered them</w:t>
      </w:r>
    </w:p>
    <w:p>
      <w:pPr>
        <w:pStyle w:val="ListBullet"/>
      </w:pPr>
      <w:r>
        <w:t>Object storage — S3-compatible storage (self-hosted MinIO, or TelOne-provided equivalent) for ID documents, animal photos, and clearance evidence photos, replacing ad-hoc local disk storage</w:t>
      </w:r>
    </w:p>
    <w:p>
      <w:pPr>
        <w:pStyle w:val="ListBullet"/>
      </w:pPr>
      <w:r>
        <w:t>GPU inference server — see 2.4 below</w:t>
      </w:r>
    </w:p>
    <w:p>
      <w:pPr>
        <w:pStyle w:val="ListBullet"/>
      </w:pPr>
      <w:r>
        <w:t>Backups — automated daily database backups with point-in-time recovery, stored off the primary VPS; ideally in a second TelOne facility for real disaster-recovery separation</w:t>
      </w:r>
    </w:p>
    <w:p>
      <w:pPr>
        <w:pStyle w:val="ListBullet"/>
      </w:pPr>
      <w:r>
        <w:t>Monitoring — Prometheus + Grafana (or TelOne's existing NOC tooling) for uptime, latency, and resource alerting</w:t>
      </w:r>
    </w:p>
    <w:p>
      <w:pPr>
        <w:pStyle w:val="ListBullet"/>
      </w:pPr>
      <w:r>
        <w:t>CDN — for animal photos and app static assets, important given patchy rural connectivity outside Harare/Bulawayo</w:t>
      </w:r>
    </w:p>
    <w:p>
      <w:pPr>
        <w:pStyle w:val="Heading2"/>
      </w:pPr>
      <w:r>
        <w:rPr>
          <w:color w:val="212121"/>
          <w:sz w:val="26"/>
        </w:rPr>
        <w:t>2.2 Phased specification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fill="1B5E20"/>
          </w:tcPr>
          <w:p>
            <w:r/>
            <w:r>
              <w:rPr>
                <w:b/>
                <w:color w:val="FFFFFF"/>
                <w:sz w:val="19"/>
              </w:rPr>
              <w:t>Phase</w:t>
            </w:r>
          </w:p>
        </w:tc>
        <w:tc>
          <w:tcPr>
            <w:tcW w:type="dxa" w:w="1584"/>
            <w:shd w:fill="1B5E20"/>
          </w:tcPr>
          <w:p>
            <w:r/>
            <w:r>
              <w:rPr>
                <w:b/>
                <w:color w:val="FFFFFF"/>
                <w:sz w:val="19"/>
              </w:rPr>
              <w:t>Target scale</w:t>
            </w:r>
          </w:p>
        </w:tc>
        <w:tc>
          <w:tcPr>
            <w:tcW w:type="dxa" w:w="1584"/>
            <w:shd w:fill="1B5E20"/>
          </w:tcPr>
          <w:p>
            <w:r/>
            <w:r>
              <w:rPr>
                <w:b/>
                <w:color w:val="FFFFFF"/>
                <w:sz w:val="19"/>
              </w:rPr>
              <w:t>App servers</w:t>
            </w:r>
          </w:p>
        </w:tc>
        <w:tc>
          <w:tcPr>
            <w:tcW w:type="dxa" w:w="1872"/>
            <w:shd w:fill="1B5E20"/>
          </w:tcPr>
          <w:p>
            <w:r/>
            <w:r>
              <w:rPr>
                <w:b/>
                <w:color w:val="FFFFFF"/>
                <w:sz w:val="19"/>
              </w:rPr>
              <w:t>Database server(s)</w:t>
            </w:r>
          </w:p>
        </w:tc>
        <w:tc>
          <w:tcPr>
            <w:tcW w:type="dxa" w:w="1296"/>
            <w:shd w:fill="1B5E20"/>
          </w:tcPr>
          <w:p>
            <w:r/>
            <w:r>
              <w:rPr>
                <w:b/>
                <w:color w:val="FFFFFF"/>
                <w:sz w:val="19"/>
              </w:rPr>
              <w:t>Cache/queue</w:t>
            </w:r>
          </w:p>
        </w:tc>
        <w:tc>
          <w:tcPr>
            <w:tcW w:type="dxa" w:w="1440"/>
            <w:shd w:fill="1B5E20"/>
          </w:tcPr>
          <w:p>
            <w:r/>
            <w:r>
              <w:rPr>
                <w:b/>
                <w:color w:val="FFFFFF"/>
                <w:sz w:val="19"/>
              </w:rPr>
              <w:t>Storage</w:t>
            </w:r>
          </w:p>
        </w:tc>
        <w:tc>
          <w:tcPr>
            <w:tcW w:type="dxa" w:w="2304"/>
            <w:shd w:fill="1B5E20"/>
          </w:tcPr>
          <w:p>
            <w:r/>
            <w:r>
              <w:rPr>
                <w:b/>
                <w:color w:val="FFFFFF"/>
                <w:sz w:val="19"/>
              </w:rPr>
              <w:t>Notes</w:t>
            </w:r>
          </w:p>
        </w:tc>
      </w:tr>
      <w:tr>
        <w:tc>
          <w:tcPr>
            <w:tcW w:type="dxa" w:w="1008"/>
          </w:tcPr>
          <w:p>
            <w:r/>
            <w:r>
              <w:rPr>
                <w:sz w:val="19"/>
              </w:rPr>
              <w:t>Pilot</w:t>
              <w:br/>
              <w:t>(current)</w:t>
            </w:r>
          </w:p>
        </w:tc>
        <w:tc>
          <w:tcPr>
            <w:tcW w:type="dxa" w:w="1584"/>
          </w:tcPr>
          <w:p>
            <w:r/>
            <w:r>
              <w:rPr>
                <w:sz w:val="19"/>
              </w:rPr>
              <w:t>Show demo,</w:t>
              <w:br/>
              <w:t>&lt; 200 users</w:t>
            </w:r>
          </w:p>
        </w:tc>
        <w:tc>
          <w:tcPr>
            <w:tcW w:type="dxa" w:w="1584"/>
          </w:tcPr>
          <w:p>
            <w:r/>
            <w:r>
              <w:rPr>
                <w:sz w:val="19"/>
              </w:rPr>
              <w:t>1× shared VPS</w:t>
              <w:br/>
              <w:t>(2 vCPU / 4GB RAM)</w:t>
            </w:r>
          </w:p>
        </w:tc>
        <w:tc>
          <w:tcPr>
            <w:tcW w:type="dxa" w:w="1872"/>
          </w:tcPr>
          <w:p>
            <w:r/>
            <w:r>
              <w:rPr>
                <w:sz w:val="19"/>
              </w:rPr>
              <w:t>1× MySQL on same VPS,</w:t>
              <w:br/>
              <w:t>no replica</w:t>
            </w:r>
          </w:p>
        </w:tc>
        <w:tc>
          <w:tcPr>
            <w:tcW w:type="dxa" w:w="1296"/>
          </w:tcPr>
          <w:p>
            <w:r/>
            <w:r>
              <w:rPr>
                <w:sz w:val="19"/>
              </w:rPr>
              <w:t>None</w:t>
            </w:r>
          </w:p>
        </w:tc>
        <w:tc>
          <w:tcPr>
            <w:tcW w:type="dxa" w:w="1440"/>
          </w:tcPr>
          <w:p>
            <w:r/>
            <w:r>
              <w:rPr>
                <w:sz w:val="19"/>
              </w:rPr>
              <w:t>Local disk, ~20GB</w:t>
            </w:r>
          </w:p>
        </w:tc>
        <w:tc>
          <w:tcPr>
            <w:tcW w:type="dxa" w:w="2304"/>
          </w:tcPr>
          <w:p>
            <w:r/>
            <w:r>
              <w:rPr>
                <w:sz w:val="19"/>
              </w:rPr>
              <w:t>What's running today — no redundancy, single point of failure</w:t>
            </w:r>
          </w:p>
        </w:tc>
      </w:tr>
      <w:tr>
        <w:tc>
          <w:tcPr>
            <w:tcW w:type="dxa" w:w="1008"/>
          </w:tcPr>
          <w:p>
            <w:r/>
            <w:r>
              <w:rPr>
                <w:sz w:val="19"/>
              </w:rPr>
              <w:t>Phase 1</w:t>
              <w:br/>
              <w:t>Launch</w:t>
            </w:r>
          </w:p>
        </w:tc>
        <w:tc>
          <w:tcPr>
            <w:tcW w:type="dxa" w:w="1584"/>
          </w:tcPr>
          <w:p>
            <w:r/>
            <w:r>
              <w:rPr>
                <w:sz w:val="19"/>
              </w:rPr>
              <w:t>Up to ~10,000 users</w:t>
              <w:br/>
              <w:t>(early national rollout, a few provinces)</w:t>
            </w:r>
          </w:p>
        </w:tc>
        <w:tc>
          <w:tcPr>
            <w:tcW w:type="dxa" w:w="1584"/>
          </w:tcPr>
          <w:p>
            <w:r/>
            <w:r>
              <w:rPr>
                <w:sz w:val="19"/>
              </w:rPr>
              <w:t>2× app servers</w:t>
              <w:br/>
              <w:t>4 vCPU / 8GB RAM each,</w:t>
              <w:br/>
              <w:t>behind a load balancer</w:t>
            </w:r>
          </w:p>
        </w:tc>
        <w:tc>
          <w:tcPr>
            <w:tcW w:type="dxa" w:w="1872"/>
          </w:tcPr>
          <w:p>
            <w:r/>
            <w:r>
              <w:rPr>
                <w:sz w:val="19"/>
              </w:rPr>
              <w:t>1× primary + 1× replica</w:t>
              <w:br/>
              <w:t>8 vCPU / 16GB RAM,</w:t>
              <w:br/>
              <w:t>500GB SSD, daily backups</w:t>
            </w:r>
          </w:p>
        </w:tc>
        <w:tc>
          <w:tcPr>
            <w:tcW w:type="dxa" w:w="1296"/>
          </w:tcPr>
          <w:p>
            <w:r/>
            <w:r>
              <w:rPr>
                <w:sz w:val="19"/>
              </w:rPr>
              <w:t>1× Redis node</w:t>
              <w:br/>
              <w:t>2 vCPU / 4GB RAM</w:t>
            </w:r>
          </w:p>
        </w:tc>
        <w:tc>
          <w:tcPr>
            <w:tcW w:type="dxa" w:w="1440"/>
          </w:tcPr>
          <w:p>
            <w:r/>
            <w:r>
              <w:rPr>
                <w:sz w:val="19"/>
              </w:rPr>
              <w:t>Object storage,</w:t>
              <w:br/>
              <w:t>500GB, versioned</w:t>
            </w:r>
          </w:p>
        </w:tc>
        <w:tc>
          <w:tcPr>
            <w:tcW w:type="dxa" w:w="2304"/>
          </w:tcPr>
          <w:p>
            <w:r/>
            <w:r>
              <w:rPr>
                <w:sz w:val="19"/>
              </w:rPr>
              <w:t>First real production tier — the minimum for a public government-facing launch</w:t>
            </w:r>
          </w:p>
        </w:tc>
      </w:tr>
      <w:tr>
        <w:tc>
          <w:tcPr>
            <w:tcW w:type="dxa" w:w="1008"/>
          </w:tcPr>
          <w:p>
            <w:r/>
            <w:r>
              <w:rPr>
                <w:sz w:val="19"/>
              </w:rPr>
              <w:t>Phase 2</w:t>
              <w:br/>
              <w:t>Growth</w:t>
            </w:r>
          </w:p>
        </w:tc>
        <w:tc>
          <w:tcPr>
            <w:tcW w:type="dxa" w:w="1584"/>
          </w:tcPr>
          <w:p>
            <w:r/>
            <w:r>
              <w:rPr>
                <w:sz w:val="19"/>
              </w:rPr>
              <w:t>Up to ~100,000 users</w:t>
              <w:br/>
              <w:t>(national coverage, active marketplace + IoT)</w:t>
            </w:r>
          </w:p>
        </w:tc>
        <w:tc>
          <w:tcPr>
            <w:tcW w:type="dxa" w:w="1584"/>
          </w:tcPr>
          <w:p>
            <w:r/>
            <w:r>
              <w:rPr>
                <w:sz w:val="19"/>
              </w:rPr>
              <w:t>4× app servers</w:t>
              <w:br/>
              <w:t>8 vCPU / 16GB RAM each, auto-scaling group</w:t>
            </w:r>
          </w:p>
        </w:tc>
        <w:tc>
          <w:tcPr>
            <w:tcW w:type="dxa" w:w="1872"/>
          </w:tcPr>
          <w:p>
            <w:r/>
            <w:r>
              <w:rPr>
                <w:sz w:val="19"/>
              </w:rPr>
              <w:t>1× primary + 2× replicas</w:t>
              <w:br/>
              <w:t>16 vCPU / 32GB RAM,</w:t>
              <w:br/>
              <w:t>2TB SSD, hourly backups</w:t>
            </w:r>
          </w:p>
        </w:tc>
        <w:tc>
          <w:tcPr>
            <w:tcW w:type="dxa" w:w="1296"/>
          </w:tcPr>
          <w:p>
            <w:r/>
            <w:r>
              <w:rPr>
                <w:sz w:val="19"/>
              </w:rPr>
              <w:t>Redis cluster</w:t>
              <w:br/>
              <w:t>(3 nodes) for HA</w:t>
            </w:r>
          </w:p>
        </w:tc>
        <w:tc>
          <w:tcPr>
            <w:tcW w:type="dxa" w:w="1440"/>
          </w:tcPr>
          <w:p>
            <w:r/>
            <w:r>
              <w:rPr>
                <w:sz w:val="19"/>
              </w:rPr>
              <w:t>Object storage,</w:t>
              <w:br/>
              <w:t>2–5TB, CDN-fronted</w:t>
            </w:r>
          </w:p>
        </w:tc>
        <w:tc>
          <w:tcPr>
            <w:tcW w:type="dxa" w:w="2304"/>
          </w:tcPr>
          <w:p>
            <w:r/>
            <w:r>
              <w:rPr>
                <w:sz w:val="19"/>
              </w:rPr>
              <w:t>Add a dedicated reporting/analytics replica so trend dashboards never touch production load</w:t>
            </w:r>
          </w:p>
        </w:tc>
      </w:tr>
      <w:tr>
        <w:tc>
          <w:tcPr>
            <w:tcW w:type="dxa" w:w="1008"/>
          </w:tcPr>
          <w:p>
            <w:r/>
            <w:r>
              <w:rPr>
                <w:sz w:val="19"/>
              </w:rPr>
              <w:t>Phase 3</w:t>
              <w:br/>
              <w:t>National scale</w:t>
            </w:r>
          </w:p>
        </w:tc>
        <w:tc>
          <w:tcPr>
            <w:tcW w:type="dxa" w:w="1584"/>
          </w:tcPr>
          <w:p>
            <w:r/>
            <w:r>
              <w:rPr>
                <w:sz w:val="19"/>
              </w:rPr>
              <w:t>500,000+ users</w:t>
              <w:br/>
              <w:t>(full national IoT + marketplace + insurer/bank integrations live)</w:t>
            </w:r>
          </w:p>
        </w:tc>
        <w:tc>
          <w:tcPr>
            <w:tcW w:type="dxa" w:w="1584"/>
          </w:tcPr>
          <w:p>
            <w:r/>
            <w:r>
              <w:rPr>
                <w:sz w:val="19"/>
              </w:rPr>
              <w:t>6–8× app servers,</w:t>
              <w:br/>
              <w:t>auto-scaling, multi-zone</w:t>
            </w:r>
          </w:p>
        </w:tc>
        <w:tc>
          <w:tcPr>
            <w:tcW w:type="dxa" w:w="1872"/>
          </w:tcPr>
          <w:p>
            <w:r/>
            <w:r>
              <w:rPr>
                <w:sz w:val="19"/>
              </w:rPr>
              <w:t>Managed HA cluster,</w:t>
              <w:br/>
              <w:t>32 vCPU / 64GB+ RAM,</w:t>
              <w:br/>
              <w:t>5TB+ SSD, multi-zone replication</w:t>
            </w:r>
          </w:p>
        </w:tc>
        <w:tc>
          <w:tcPr>
            <w:tcW w:type="dxa" w:w="1296"/>
          </w:tcPr>
          <w:p>
            <w:r/>
            <w:r>
              <w:rPr>
                <w:sz w:val="19"/>
              </w:rPr>
              <w:t>Redis cluster,</w:t>
              <w:br/>
              <w:t>multi-zone</w:t>
            </w:r>
          </w:p>
        </w:tc>
        <w:tc>
          <w:tcPr>
            <w:tcW w:type="dxa" w:w="1440"/>
          </w:tcPr>
          <w:p>
            <w:r/>
            <w:r>
              <w:rPr>
                <w:sz w:val="19"/>
              </w:rPr>
              <w:t>Object storage,</w:t>
              <w:br/>
              <w:t>10TB+, multi-region</w:t>
            </w:r>
          </w:p>
        </w:tc>
        <w:tc>
          <w:tcPr>
            <w:tcW w:type="dxa" w:w="2304"/>
          </w:tcPr>
          <w:p>
            <w:r/>
            <w:r>
              <w:rPr>
                <w:sz w:val="19"/>
              </w:rPr>
              <w:t>This is the tier that justifies a TelOne data-center co-location agreement rather than a rented VPS</w:t>
            </w:r>
          </w:p>
        </w:tc>
      </w:tr>
    </w:tbl>
    <w:p/>
    <w:p>
      <w:pPr>
        <w:pStyle w:val="Heading2"/>
      </w:pPr>
      <w:r>
        <w:rPr>
          <w:color w:val="212121"/>
          <w:sz w:val="26"/>
        </w:rPr>
        <w:t>2.3 Why these numbers, not larger</w:t>
      </w:r>
    </w:p>
    <w:p>
      <w:r>
        <w:rPr>
          <w:b w:val="0"/>
          <w:i w:val="0"/>
          <w:sz w:val="21"/>
        </w:rPr>
        <w:t>It would be easy to over-ask given the funding interest signaled at the show, but a defensible request scales with actual users, not with the size of the budget available. A national livestock and marketplace platform at 100,000–500,000 users is a mid-size production workload — comparable to a national retail or fintech app, not a hyperscale consumer platform. Requesting Phase 3-grade infrastructure before Phase 1 has any real traffic would be difficult to justify to any technical reviewer and wastes committed budget on idle capacity. The phased table above is the actual justification document — each phase is triggered by hitting the prior phase's user-count target, not by a calendar date.</w:t>
      </w:r>
    </w:p>
    <w:p>
      <w:pPr>
        <w:pStyle w:val="Heading2"/>
      </w:pPr>
      <w:r>
        <w:rPr>
          <w:color w:val="212121"/>
          <w:sz w:val="26"/>
        </w:rPr>
        <w:t>2.4 GPU / AI inference server — specification and justification</w:t>
      </w:r>
    </w:p>
    <w:p>
      <w:r>
        <w:rPr>
          <w:b w:val="0"/>
          <w:i w:val="0"/>
          <w:sz w:val="21"/>
        </w:rPr>
        <w:t>Two features justify a GPU server, both already present in PFUMA's roadmap:</w:t>
      </w:r>
    </w:p>
    <w:p>
      <w:pPr>
        <w:pStyle w:val="ListBullet"/>
      </w:pPr>
      <w:r>
        <w:t>Jinda, the AI farm assistant — currently rule-based NLP. A self-hosted LLM (rather than a third-party API) keeps farmer health queries and location data inside Zimbabwe-controlled infrastructure, which matters given the data-sovereignty concerns already raised internally about where PFUMA's data lives.</w:t>
      </w:r>
    </w:p>
    <w:p>
      <w:pPr>
        <w:pStyle w:val="ListBullet"/>
      </w:pPr>
      <w:r>
        <w:t>Computer-vision disease/health screening from animal photos — a stretch feature repeatedly raised as a differentiator: a farmer photographs an animal and gets an early visual flag for a condition like Lumpy Skin Disease, matched against health_events for the animal.</w:t>
      </w:r>
    </w:p>
    <w:p>
      <w:r>
        <w:rPr>
          <w:b w:val="0"/>
          <w:i w:val="0"/>
          <w:sz w:val="21"/>
        </w:rPr>
        <w:t>Neither workload requires a hyperscale training cluster — both are inference-only against a fine-tuned or open-weights model. Recommended specification: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1B5E20"/>
          </w:tcPr>
          <w:p>
            <w:r/>
            <w:r>
              <w:rPr>
                <w:b/>
                <w:color w:val="FFFFFF"/>
                <w:sz w:val="19"/>
              </w:rPr>
              <w:t>Item</w:t>
            </w:r>
          </w:p>
        </w:tc>
        <w:tc>
          <w:tcPr>
            <w:tcW w:type="dxa" w:w="3888"/>
            <w:shd w:fill="1B5E20"/>
          </w:tcPr>
          <w:p>
            <w:r/>
            <w:r>
              <w:rPr>
                <w:b/>
                <w:color w:val="FFFFFF"/>
                <w:sz w:val="19"/>
              </w:rPr>
              <w:t>Recommendation</w:t>
            </w:r>
          </w:p>
        </w:tc>
        <w:tc>
          <w:tcPr>
            <w:tcW w:type="dxa" w:w="4320"/>
            <w:shd w:fill="1B5E20"/>
          </w:tcPr>
          <w:p>
            <w:r/>
            <w:r>
              <w:rPr>
                <w:b/>
                <w:color w:val="FFFFFF"/>
                <w:sz w:val="19"/>
              </w:rPr>
              <w:t>Why</w:t>
            </w:r>
          </w:p>
        </w:tc>
      </w:tr>
      <w:tr>
        <w:tc>
          <w:tcPr>
            <w:tcW w:type="dxa" w:w="1440"/>
          </w:tcPr>
          <w:p>
            <w:r/>
            <w:r>
              <w:rPr>
                <w:sz w:val="19"/>
              </w:rPr>
              <w:t>GPU</w:t>
            </w:r>
          </w:p>
        </w:tc>
        <w:tc>
          <w:tcPr>
            <w:tcW w:type="dxa" w:w="3888"/>
          </w:tcPr>
          <w:p>
            <w:r/>
            <w:r>
              <w:rPr>
                <w:sz w:val="19"/>
              </w:rPr>
              <w:t>1–2× NVIDIA L40S or A10G-class GPU (24–48GB VRAM)</w:t>
            </w:r>
          </w:p>
        </w:tc>
        <w:tc>
          <w:tcPr>
            <w:tcW w:type="dxa" w:w="4320"/>
          </w:tcPr>
          <w:p>
            <w:r/>
            <w:r>
              <w:rPr>
                <w:sz w:val="19"/>
              </w:rPr>
              <w:t>Sufficient VRAM to run a 13B–70B-parameter quantized LLM plus a vision model concurrently; far cheaper to acquire and run than H100/A100-class training hardware, which this workload does not need</w:t>
            </w:r>
          </w:p>
        </w:tc>
      </w:tr>
      <w:tr>
        <w:tc>
          <w:tcPr>
            <w:tcW w:type="dxa" w:w="1440"/>
          </w:tcPr>
          <w:p>
            <w:r/>
            <w:r>
              <w:rPr>
                <w:sz w:val="19"/>
              </w:rPr>
              <w:t>Host server</w:t>
            </w:r>
          </w:p>
        </w:tc>
        <w:tc>
          <w:tcPr>
            <w:tcW w:type="dxa" w:w="3888"/>
          </w:tcPr>
          <w:p>
            <w:r/>
            <w:r>
              <w:rPr>
                <w:sz w:val="19"/>
              </w:rPr>
              <w:t>Dual-socket server, 32+ CPU cores, 128GB+ system RAM, NVMe storage</w:t>
            </w:r>
          </w:p>
        </w:tc>
        <w:tc>
          <w:tcPr>
            <w:tcW w:type="dxa" w:w="4320"/>
          </w:tcPr>
          <w:p>
            <w:r/>
            <w:r>
              <w:rPr>
                <w:sz w:val="19"/>
              </w:rPr>
              <w:t>Feeds the GPU without becoming the bottleneck; also runs the vision-model preprocessing pipeline</w:t>
            </w:r>
          </w:p>
        </w:tc>
      </w:tr>
      <w:tr>
        <w:tc>
          <w:tcPr>
            <w:tcW w:type="dxa" w:w="1440"/>
          </w:tcPr>
          <w:p>
            <w:r/>
            <w:r>
              <w:rPr>
                <w:sz w:val="19"/>
              </w:rPr>
              <w:t>Deployment</w:t>
            </w:r>
          </w:p>
        </w:tc>
        <w:tc>
          <w:tcPr>
            <w:tcW w:type="dxa" w:w="3888"/>
          </w:tcPr>
          <w:p>
            <w:r/>
            <w:r>
              <w:rPr>
                <w:sz w:val="19"/>
              </w:rPr>
              <w:t>On-prem at a TelOne facility, or TelOne's own cloud/GPU offering if one exists</w:t>
            </w:r>
          </w:p>
        </w:tc>
        <w:tc>
          <w:tcPr>
            <w:tcW w:type="dxa" w:w="4320"/>
          </w:tcPr>
          <w:p>
            <w:r/>
            <w:r>
              <w:rPr>
                <w:sz w:val="19"/>
              </w:rPr>
              <w:t>Keeps inference data-sovereign — directly answers the data-residency question raised by the commercial-scale-up discussion at the show</w:t>
            </w:r>
          </w:p>
        </w:tc>
      </w:tr>
      <w:tr>
        <w:tc>
          <w:tcPr>
            <w:tcW w:type="dxa" w:w="1440"/>
          </w:tcPr>
          <w:p>
            <w:r/>
            <w:r>
              <w:rPr>
                <w:sz w:val="19"/>
              </w:rPr>
              <w:t>Scale trigger</w:t>
            </w:r>
          </w:p>
        </w:tc>
        <w:tc>
          <w:tcPr>
            <w:tcW w:type="dxa" w:w="3888"/>
          </w:tcPr>
          <w:p>
            <w:r/>
            <w:r>
              <w:rPr>
                <w:sz w:val="19"/>
              </w:rPr>
              <w:t>Provision at Phase 2, not Phase 1</w:t>
            </w:r>
          </w:p>
        </w:tc>
        <w:tc>
          <w:tcPr>
            <w:tcW w:type="dxa" w:w="4320"/>
          </w:tcPr>
          <w:p>
            <w:r/>
            <w:r>
              <w:rPr>
                <w:sz w:val="19"/>
              </w:rPr>
              <w:t>Phase 1's rule-based Jinda and manual vet triage are adequate at pilot/early-launch scale; the GPU spend is justified once usage volume makes AI-assisted triage a real time-saving need</w:t>
            </w:r>
          </w:p>
        </w:tc>
      </w:tr>
    </w:tbl>
    <w:p/>
    <w:p>
      <w:pPr>
        <w:pStyle w:val="Heading1"/>
      </w:pPr>
      <w:r>
        <w:rPr>
          <w:color w:val="1B5E20"/>
          <w:sz w:val="32"/>
        </w:rPr>
        <w:t>Section 3 — Security, Compliance &amp; Data Residency</w:t>
      </w:r>
    </w:p>
    <w:p>
      <w:r>
        <w:rPr>
          <w:b w:val="0"/>
          <w:i w:val="0"/>
          <w:sz w:val="21"/>
        </w:rPr>
        <w:t>PFUMA already implements bcrypt password hashing, JWT sessions, per-owner data scoping, and documents stored outside the web root. Commercial, government-adjacent scale adds requirements beyond what a pilot needs:</w:t>
      </w:r>
    </w:p>
    <w:p>
      <w:pPr>
        <w:pStyle w:val="ListBullet"/>
      </w:pPr>
      <w:r>
        <w:t>Data residency — with TelOne as infrastructure partner, PFUMA's production database and backups should live on Zimbabwean soil, in a TelOne-operated facility. This is also the strongest answer to any question about who controls farmer/vet/police data at national scale.</w:t>
      </w:r>
    </w:p>
    <w:p>
      <w:pPr>
        <w:pStyle w:val="ListBullet"/>
      </w:pPr>
      <w:r>
        <w:t>Encryption in transit (TLS everywhere, already true via the current Caddy/HTTPS setup) and at rest (database and object-storage encryption, not yet configured on the pilot VPS)</w:t>
      </w:r>
    </w:p>
    <w:p>
      <w:pPr>
        <w:pStyle w:val="ListBullet"/>
      </w:pPr>
      <w:r>
        <w:t>Formal alignment with Zimbabwe's Data Protection Act (2021) — a data-protection policy, breach-notification process, and a named data controller, which the platform does not yet have in writing</w:t>
      </w:r>
    </w:p>
    <w:p>
      <w:pPr>
        <w:pStyle w:val="ListBullet"/>
      </w:pPr>
      <w:r>
        <w:t>Role-based access audit logging on admin actions — every verification approval, suspension, and (new, per Section 5) database import/fusion action should be logged with which admin did it and when</w:t>
      </w:r>
    </w:p>
    <w:p>
      <w:pPr>
        <w:pStyle w:val="ListBullet"/>
      </w:pPr>
      <w:r>
        <w:t>Backup and disaster-recovery testing, not just backup existence — a documented, periodically-tested restore procedure</w:t>
      </w:r>
    </w:p>
    <w:p>
      <w:pPr>
        <w:pStyle w:val="Heading1"/>
      </w:pPr>
      <w:r>
        <w:rPr>
          <w:color w:val="1B5E20"/>
          <w:sz w:val="32"/>
        </w:rPr>
        <w:t>Section 4 — Budget Justification Framework</w:t>
      </w:r>
    </w:p>
    <w:p>
      <w:r>
        <w:rPr>
          <w:b w:val="0"/>
          <w:i w:val="0"/>
          <w:sz w:val="21"/>
        </w:rPr>
        <w:t>Rather than a single lump figure, funding should be requested and tracked against the categories below, each tied to a phase from Section 2. This keeps the ask auditable line-by-line against TelOne and the Ministry, and makes it easy to show exactly what each phase of funding bought.</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1B5E20"/>
          </w:tcPr>
          <w:p>
            <w:r/>
            <w:r>
              <w:rPr>
                <w:b/>
                <w:color w:val="FFFFFF"/>
                <w:sz w:val="19"/>
              </w:rPr>
              <w:t>Category</w:t>
            </w:r>
          </w:p>
        </w:tc>
        <w:tc>
          <w:tcPr>
            <w:tcW w:type="dxa" w:w="4896"/>
            <w:shd w:fill="1B5E20"/>
          </w:tcPr>
          <w:p>
            <w:r/>
            <w:r>
              <w:rPr>
                <w:b/>
                <w:color w:val="FFFFFF"/>
                <w:sz w:val="19"/>
              </w:rPr>
              <w:t>Covers</w:t>
            </w:r>
          </w:p>
        </w:tc>
        <w:tc>
          <w:tcPr>
            <w:tcW w:type="dxa" w:w="2448"/>
            <w:shd w:fill="1B5E20"/>
          </w:tcPr>
          <w:p>
            <w:r/>
            <w:r>
              <w:rPr>
                <w:b/>
                <w:color w:val="FFFFFF"/>
                <w:sz w:val="19"/>
              </w:rPr>
              <w:t>Tied to</w:t>
            </w:r>
          </w:p>
        </w:tc>
      </w:tr>
      <w:tr>
        <w:tc>
          <w:tcPr>
            <w:tcW w:type="dxa" w:w="2304"/>
          </w:tcPr>
          <w:p>
            <w:r/>
            <w:r>
              <w:rPr>
                <w:sz w:val="19"/>
              </w:rPr>
              <w:t>Infrastructure capex</w:t>
            </w:r>
          </w:p>
        </w:tc>
        <w:tc>
          <w:tcPr>
            <w:tcW w:type="dxa" w:w="4896"/>
          </w:tcPr>
          <w:p>
            <w:r/>
            <w:r>
              <w:rPr>
                <w:sz w:val="19"/>
              </w:rPr>
              <w:t>Application/database/cache/GPU servers, load balancers, object storage</w:t>
            </w:r>
          </w:p>
        </w:tc>
        <w:tc>
          <w:tcPr>
            <w:tcW w:type="dxa" w:w="2448"/>
          </w:tcPr>
          <w:p>
            <w:r/>
            <w:r>
              <w:rPr>
                <w:sz w:val="19"/>
              </w:rPr>
              <w:t>Section 2 phased table — request Phase 1 now, Phase 2/3 as user-count triggers are hit</w:t>
            </w:r>
          </w:p>
        </w:tc>
      </w:tr>
      <w:tr>
        <w:tc>
          <w:tcPr>
            <w:tcW w:type="dxa" w:w="2304"/>
          </w:tcPr>
          <w:p>
            <w:r/>
            <w:r>
              <w:rPr>
                <w:sz w:val="19"/>
              </w:rPr>
              <w:t>Connectivity &amp; hosting opex</w:t>
            </w:r>
          </w:p>
        </w:tc>
        <w:tc>
          <w:tcPr>
            <w:tcW w:type="dxa" w:w="4896"/>
          </w:tcPr>
          <w:p>
            <w:r/>
            <w:r>
              <w:rPr>
                <w:sz w:val="19"/>
              </w:rPr>
              <w:t>TelOne bandwidth/IP transit, LTE SIM data plans for BS-01 field units, colocation fees</w:t>
            </w:r>
          </w:p>
        </w:tc>
        <w:tc>
          <w:tcPr>
            <w:tcW w:type="dxa" w:w="2448"/>
          </w:tcPr>
          <w:p>
            <w:r/>
            <w:r>
              <w:rPr>
                <w:sz w:val="19"/>
              </w:rPr>
              <w:t>Section 1 item 8, Section 2.1</w:t>
            </w:r>
          </w:p>
        </w:tc>
      </w:tr>
      <w:tr>
        <w:tc>
          <w:tcPr>
            <w:tcW w:type="dxa" w:w="2304"/>
          </w:tcPr>
          <w:p>
            <w:r/>
            <w:r>
              <w:rPr>
                <w:sz w:val="19"/>
              </w:rPr>
              <w:t>Integration/partnership costs</w:t>
            </w:r>
          </w:p>
        </w:tc>
        <w:tc>
          <w:tcPr>
            <w:tcW w:type="dxa" w:w="4896"/>
          </w:tcPr>
          <w:p>
            <w:r/>
            <w:r>
              <w:rPr>
                <w:sz w:val="19"/>
              </w:rPr>
              <w:t>SMS gateway per-message fees, WhatsApp Business API fees, any registry data-sharing agreement costs</w:t>
            </w:r>
          </w:p>
        </w:tc>
        <w:tc>
          <w:tcPr>
            <w:tcW w:type="dxa" w:w="2448"/>
          </w:tcPr>
          <w:p>
            <w:r/>
            <w:r>
              <w:rPr>
                <w:sz w:val="19"/>
              </w:rPr>
              <w:t>Section 1 items 1–7</w:t>
            </w:r>
          </w:p>
        </w:tc>
      </w:tr>
      <w:tr>
        <w:tc>
          <w:tcPr>
            <w:tcW w:type="dxa" w:w="2304"/>
          </w:tcPr>
          <w:p>
            <w:r/>
            <w:r>
              <w:rPr>
                <w:sz w:val="19"/>
              </w:rPr>
              <w:t>IoT hardware rollout</w:t>
            </w:r>
          </w:p>
        </w:tc>
        <w:tc>
          <w:tcPr>
            <w:tcW w:type="dxa" w:w="4896"/>
          </w:tcPr>
          <w:p>
            <w:r/>
            <w:r>
              <w:rPr>
                <w:sz w:val="19"/>
              </w:rPr>
              <w:t>CN-01 collar / BS-01 base-station bill of materials at production volume (see existing BUDGET_PROPOSAL.md for the per-unit BOM)</w:t>
            </w:r>
          </w:p>
        </w:tc>
        <w:tc>
          <w:tcPr>
            <w:tcW w:type="dxa" w:w="2448"/>
          </w:tcPr>
          <w:p>
            <w:r/>
            <w:r>
              <w:rPr>
                <w:sz w:val="19"/>
              </w:rPr>
              <w:t>Existing hardware budget document — this section only adds the server-side cost, not hardware</w:t>
            </w:r>
          </w:p>
        </w:tc>
      </w:tr>
      <w:tr>
        <w:tc>
          <w:tcPr>
            <w:tcW w:type="dxa" w:w="2304"/>
          </w:tcPr>
          <w:p>
            <w:r/>
            <w:r>
              <w:rPr>
                <w:sz w:val="19"/>
              </w:rPr>
              <w:t>Engineering &amp; support team</w:t>
            </w:r>
          </w:p>
        </w:tc>
        <w:tc>
          <w:tcPr>
            <w:tcW w:type="dxa" w:w="4896"/>
          </w:tcPr>
          <w:p>
            <w:r/>
            <w:r>
              <w:rPr>
                <w:sz w:val="19"/>
              </w:rPr>
              <w:t>Ongoing development, DVS/vet/police account provisioning support, on-call ops for a live national platform</w:t>
            </w:r>
          </w:p>
        </w:tc>
        <w:tc>
          <w:tcPr>
            <w:tcW w:type="dxa" w:w="2448"/>
          </w:tcPr>
          <w:p>
            <w:r/>
            <w:r>
              <w:rPr>
                <w:sz w:val="19"/>
              </w:rPr>
              <w:t>Not a one-time capex line — needs an ongoing opex commitment, not just a launch grant</w:t>
            </w:r>
          </w:p>
        </w:tc>
      </w:tr>
    </w:tbl>
    <w:p/>
    <w:p>
      <w:r>
        <w:rPr>
          <w:b w:val="0"/>
          <w:i/>
          <w:sz w:val="21"/>
        </w:rPr>
        <w:t>Exact figures require vendor quotes from TelOne for hosting/connectivity and from SMS/WhatsApp providers for per-message costs — those are the two inputs this document cannot fill in without a direct conversation with TelOne's commercial team. Everything else above is scoped precisely enough to price once those two quotes are in hand.</w:t>
      </w:r>
    </w:p>
    <w:p>
      <w:pPr>
        <w:pStyle w:val="Heading1"/>
      </w:pPr>
      <w:r>
        <w:rPr>
          <w:color w:val="1B5E20"/>
          <w:sz w:val="32"/>
        </w:rPr>
        <w:t>Section 5 — Admin Panel: Database Import &amp; Fusion Tooling</w:t>
      </w:r>
    </w:p>
    <w:p>
      <w:r>
        <w:rPr>
          <w:b w:val="0"/>
          <w:i w:val="0"/>
          <w:sz w:val="21"/>
        </w:rPr>
        <w:t>Every integration in Section 1 needs a way for a non-technical admin (not a developer) to bring outside data into PFUMA and keep it current — importing a CVSZ vet list, a ZRP roster, or a bulk CSV of NAtional ID verifications, without anyone writing SQL by hand. This is the concrete engineering requirement behind "easy migration of databases and fusing with APIs" raised for the admin panel upgrade.</w:t>
      </w:r>
    </w:p>
    <w:p>
      <w:r>
        <w:rPr>
          <w:b w:val="0"/>
          <w:i w:val="0"/>
          <w:sz w:val="21"/>
        </w:rPr>
        <w:t>Planned admin panel additions (see the separate engineering plan for build sequencing):</w:t>
      </w:r>
    </w:p>
    <w:p>
      <w:pPr>
        <w:pStyle w:val="ListBullet"/>
      </w:pPr>
      <w:r>
        <w:t>A "Data Import" tab — CSV/Excel upload with column mapping to PFUMA fields (e.g. map a CVSZ export's "Licence No" column to users.license_number), a preview-before-commit step, and a per-import audit log</w:t>
      </w:r>
    </w:p>
    <w:p>
      <w:pPr>
        <w:pStyle w:val="ListBullet"/>
      </w:pPr>
      <w:r>
        <w:t>A "Integrations" tab — status view of each external source (last sync time, record count, connection health) once live APIs (not just CSV imports) exist for a given source</w:t>
      </w:r>
    </w:p>
    <w:p>
      <w:pPr>
        <w:pStyle w:val="ListBullet"/>
      </w:pPr>
      <w:r>
        <w:t>Duplicate/conflict handling — matching imported rows against existing users by national ID or licence number, with an explicit merge-or-skip decision surfaced to the admin rather than silently overwritten</w:t>
      </w:r>
    </w:p>
    <w:p>
      <w:pPr>
        <w:pStyle w:val="ListBullet"/>
      </w:pPr>
      <w:r>
        <w:t>Role-scoped to Admin only, with every import action logged (who, when, what changed) per the audit-logging requirement in Section 3</w:t>
      </w:r>
    </w:p>
    <w:p>
      <w:pPr>
        <w:pStyle w:val="Heading1"/>
      </w:pPr>
      <w:r>
        <w:rPr>
          <w:color w:val="1B5E20"/>
          <w:sz w:val="32"/>
        </w:rPr>
        <w:t>Section 6 — Recommended Next Steps</w:t>
      </w:r>
    </w:p>
    <w:p>
      <w:pPr>
        <w:pStyle w:val="ListNumber"/>
      </w:pPr>
      <w:r>
        <w:t>Confirm TelOne hosting/connectivity quote and data-residency terms — this unblocks pricing the rest of Section 4.</w:t>
      </w:r>
    </w:p>
    <w:p>
      <w:pPr>
        <w:pStyle w:val="ListNumber"/>
      </w:pPr>
      <w:r>
        <w:t>Stand up Phase 1 infrastructure (Section 2.2) and migrate off the single-VPS pilot before any public national launch announcement.</w:t>
      </w:r>
    </w:p>
    <w:p>
      <w:pPr>
        <w:pStyle w:val="ListNumber"/>
      </w:pPr>
      <w:r>
        <w:t>Prioritize SMS + WhatsApp Business integration first among Section 1 items — fastest to deploy, and unlocks the outbreak-alert broadcast feature that was one of the most-requested items at the show.</w:t>
      </w:r>
    </w:p>
    <w:p>
      <w:pPr>
        <w:pStyle w:val="ListNumber"/>
      </w:pPr>
      <w:r>
        <w:t>Open parallel conversations with DVS/CVSZ, ZRP, and the Registrar-General's office for registry data-sharing — these have the longest lead time and should start now regardless of engineering readiness.</w:t>
      </w:r>
    </w:p>
    <w:p>
      <w:pPr>
        <w:pStyle w:val="ListNumber"/>
      </w:pPr>
      <w:r>
        <w:t>Build the admin Data Import tab (Section 5) alongside Phase 1 infrastructure work, since every registry integration depends on it.</w:t>
      </w:r>
    </w:p>
    <w:p/>
    <w:p>
      <w:r>
        <w:rPr>
          <w:b w:val="0"/>
          <w:i/>
          <w:sz w:val="18"/>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