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33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LOL,LHR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9340.0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Monthly general Servicing (upto to 2 Ton)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300.0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600.0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Cable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2rft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44.4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88.8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Cable1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2rft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0.0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Cable2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2rft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44.0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88.0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10116.8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1618.6879999999999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Conveynce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900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1800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13535.488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