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49094DEA">
      <w:pPr>
        <w:spacing w:after="120" w:line="360" w:lineRule="auto"/>
        <w:rPr>
          <w:rFonts w:hint="default" w:ascii="Calibri" w:hAnsi="Calibri" w:cs="Calibri"/>
        </w:rPr>
      </w:pPr>
      <w:r>
        <w:rPr>
          <w:rFonts w:hint="default" w:ascii="Calibri" w:hAnsi="Calibri" w:eastAsia="Arial" w:cs="Calibri"/>
          <w:b w:val="0"/>
          <w:bCs w:val="0"/>
        </w:rPr>
        <w:t>Ethics approval and consent to participate. This is a secondary analysis of de-identified, publicly available NHANES and NHIS data and was exempt from further institutional review. The original surveys were approved by the National Center for Health Statistics Research Ethics Review Board, and all participants provided written informed consent.</w:t>
      </w:r>
    </w:p>
    <w:p w14:paraId="252AB2A8">
      <w:pPr>
        <w:spacing w:after="120" w:line="360" w:lineRule="auto"/>
        <w:rPr>
          <w:rFonts w:hint="default" w:ascii="Calibri" w:hAnsi="Calibri" w:cs="Calibri"/>
        </w:rPr>
      </w:pPr>
      <w:r>
        <w:rPr>
          <w:rFonts w:hint="default" w:ascii="Calibri" w:hAnsi="Calibri" w:cs="Calibri"/>
          <w:b w:val="0"/>
        </w:rPr>
        <w:t>Declaration of generative AI in scientific writing. The authors used an AI coding assistant (QoderWork) to help write and debug the analysis scripts and to assist in drafting and editing the manuscript. After using the tool, the authors reviewed and edited the content as needed and take full responsibility for the published article. No AI tool meets the ICMJE authorship criteria and none is listed as an author.</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applies a standardised protocol, whereas the questionnaire records whether participants recall being told they had a corresponding condition; the two differ in diagnostic threshold, terminology and susceptibility to recall error, and the microvascular signs seen in adults with diabetes are not attributable to diabetes alone. Even so, discordance persisted in advanced categories (a 15.7% gap in severe-or-proliferative retinopathy and 41.4% in late AMD), so it cannot be explained by the inclusion of mild imaging abnormalities alone. The small numbers with severe retinopathy and late AMD call for caution in reading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it did not survive Holm correction. Because the design is cross-sectional, we cannot tell whether eye-care contact improves recognition, whether a known diagnosis prompts examination, or whether both track severity and access; settling that direction requires prospective data.</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8F05C5C">
      <w:pPr>
        <w:pBdr>
          <w:bottom w:val="single" w:color="999999" w:sz="6" w:space="1"/>
        </w:pBdr>
        <w:spacing w:line="360" w:lineRule="auto"/>
        <w:rPr>
          <w:rFonts w:hint="default" w:ascii="Calibri" w:hAnsi="Calibri" w:cs="Calibri"/>
        </w:rPr>
      </w:pPr>
    </w:p>
    <w:p w14:paraId="5741F85C">
      <w:pPr>
        <w:pBdr>
          <w:bottom w:val="single" w:color="999999" w:sz="6" w:space="1"/>
        </w:pBdr>
        <w:spacing w:line="360" w:lineRule="auto"/>
        <w:rPr>
          <w:rFonts w:hint="default" w:ascii="Calibri" w:hAnsi="Calibri" w:cs="Calibri"/>
        </w:rPr>
      </w:pP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code used to produce all results in this study is available in a public GitHub repository at https://github.com/teamhuang/eye3-nhanes-diagnosis-care-gap (version-tagged release: https://github.com/teamhuang/eye3-nhanes-diagnosis-care-gap/releases/tag/v10.0.0).</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650902A">
      <w:pPr>
        <w:spacing w:after="120" w:line="360" w:lineRule="auto"/>
        <w:rPr>
          <w:rFonts w:hint="default" w:ascii="Calibri" w:hAnsi="Calibri" w:cs="Calibri"/>
        </w:rPr>
      </w:pPr>
      <w:r>
        <w:rPr>
          <w:rFonts w:hint="default" w:ascii="Calibri" w:hAnsi="Calibri" w:eastAsia="Arial" w:cs="Calibri"/>
          <w:b w:val="0"/>
          <w:i/>
          <w:iCs/>
        </w:rPr>
        <w:t>Additional information. Supplementary Tables S1–S9 and Supplementary Figures S1–S2 are provided in a separate Supplementary Materials file and report cohort reconciliation, severity analyses, model diagnostics, sensitivity analyses and variable provenance. All supplementary values are generated from numbers_v7.csv.</w:t>
      </w: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3" name="Picture 13"/>
            <wp:cNvGraphicFramePr>
              <a:graphicFrameLocks noChangeAspect="1"/>
            </wp:cNvGraphicFramePr>
            <a:graphic>
              <a:graphicData uri="http://schemas.openxmlformats.org/drawingml/2006/picture">
                <pic:pic>
                  <pic:nvPicPr>
                    <pic:cNvPr id="0" name="Fig1_flowchart.png"/>
                    <pic:cNvPicPr/>
                  </pic:nvPicPr>
                  <pic:blipFill>
                    <a:blip r:embed="rId5"/>
                    <a:stretch>
                      <a:fillRect/>
                    </a:stretch>
                  </pic:blipFill>
                  <pic:spPr>
                    <a:xfrm>
                      <a:off x="0" y="0"/>
                      <a:ext cx="180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4" name="Picture 14"/>
            <wp:cNvGraphicFramePr>
              <a:graphicFrameLocks noChangeAspect="1"/>
            </wp:cNvGraphicFramePr>
            <a:graphic>
              <a:graphicData uri="http://schemas.openxmlformats.org/drawingml/2006/picture">
                <pic:pic>
                  <pic:nvPicPr>
                    <pic:cNvPr id="0" name="Fig2_gradient_forest.png"/>
                    <pic:cNvPicPr/>
                  </pic:nvPicPr>
                  <pic:blipFill>
                    <a:blip r:embed="rId6"/>
                    <a:stretch>
                      <a:fillRect/>
                    </a:stretch>
                  </pic:blipFill>
                  <pic:spPr>
                    <a:xfrm>
                      <a:off x="0" y="0"/>
                      <a:ext cx="1800000" cy="1800000"/>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bottom w:val="single" w:sz="6" w:space="0" w:color="auto"/>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bottom w:val="single" w:sz="6" w:space="0" w:color="auto"/>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bottom w:val="single" w:sz="6" w:space="0" w:color="auto"/>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bottom w:val="single" w:sz="6" w:space="0" w:color="auto"/>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Borders>
              <w:bottom w:val="single" w:sz="6" w:space="0" w:color="auto"/>
            </w:tcBorders>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3" Type="http://schemas.openxmlformats.org/officeDocument/2006/relationships/image" Target="media/image6.png"/><Relationship Id="rId5" Type="http://schemas.openxmlformats.org/officeDocument/2006/relationships/image" Target="media/image1.png"/><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