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identifies retinal abnormalities under a standardised protocol, whereas the questionnaire captures whether participants recall being told they had a corresponding condition; the two differ in diagnostic threshold, terminology and susceptibility to recall error. Retinal microvascular abnormalities in adults with diabetes are also not necessarily attributable to diabetes alone. Even so, discordance persisted in advanced categories — a 15.7% gap in severe-or-proliferative retinopathy and 41.4% in late AMD — so it cannot be explained solely by the inclusion of mild imaging abnormalities. The small numbers with severe retinopathy and late AMD warrant caution in interpreting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the association did not survive Holm correction, and a cross-sectional design cannot tell whether eye-care contact facilitates recognition, whether a known diagnosis prompts examination, or whether both track severity and access. Examination patterns may shape diagnostic awareness, but these data do not test that pathway; prior diagnosis can itself prompt eye-care visits, so the relationship is bidirectional and requires prospective study.</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9094DEA">
      <w:pPr>
        <w:spacing w:after="120" w:line="360" w:lineRule="auto"/>
        <w:rPr>
          <w:rFonts w:hint="default" w:ascii="Calibri" w:hAnsi="Calibri" w:cs="Calibri"/>
        </w:rPr>
      </w:pPr>
      <w:r>
        <w:rPr>
          <w:rFonts w:hint="default" w:ascii="Calibri" w:hAnsi="Calibri" w:eastAsia="Arial" w:cs="Calibri"/>
          <w:b w:val="0"/>
          <w:bCs w:val="0"/>
        </w:rPr>
        <w:t>Ethics.</w:t>
      </w:r>
      <w:r>
        <w:rPr>
          <w:rFonts w:hint="default" w:ascii="Calibri" w:hAnsi="Calibri" w:eastAsia="Arial" w:cs="Calibri"/>
          <w:b w:val="0"/>
        </w:rPr>
        <w:t xml:space="preserve"> Secondary analysis of de-identified public NHANES/NHIS data; exempt. Original surveys approved by the NCHS Research Ethics Review Board with written informed consent.</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complete analysis archive — dataset construction (build_dataset_v2.py), survey-weighted models (survey_analysis_v7.R), number consolidation (consolidate_v7.py), Nature-style figure generation (build_figures_v13.py) and end-to-end verification (verify_v7.py) — is deposited, version-tagged, in a public repository at https://github.com/teamhuang/eye3-nhanes-diagnosis-care-gap (release v10.0.0: https://github.com/teamhuang/eye3-nhanes-diagnosis-care-gap/releases/tag/v10.0.0). It redistributes no individual-level data; the public NHANES and NHIS source files must be downloaded separately from NCHS.</w:t>
      </w:r>
    </w:p>
    <w:p w14:paraId="252AB2A8">
      <w:pPr>
        <w:spacing w:after="120" w:line="360" w:lineRule="auto"/>
        <w:rPr>
          <w:rFonts w:hint="default" w:ascii="Calibri" w:hAnsi="Calibri" w:cs="Calibri"/>
        </w:rPr>
      </w:pPr>
      <w:r>
        <w:rPr>
          <w:rFonts w:hint="default" w:ascii="Calibri" w:hAnsi="Calibri" w:cs="Calibri"/>
          <w:b w:val="0"/>
        </w:rPr>
        <w:t>The authors used an AI coding assistant (QoderWork) to help write and debug the analysis scripts and to assist in drafting and editing the manuscript. All statistical outputs, numbers, code and prose were independently checked by the authors, who take full responsibility for them and confirmed their accuracy before submission. No AI tool meets the ICMJE authorship criteria and none is listed as an author, consistent with ICMJE and Scientific Reports policy.</w:t>
      </w: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8F05C5C">
      <w:pPr>
        <w:pBdr>
          <w:bottom w:val="single" w:color="999999" w:sz="6" w:space="1"/>
        </w:pBdr>
        <w:spacing w:line="360" w:lineRule="auto"/>
        <w:rPr>
          <w:rFonts w:hint="default" w:ascii="Calibri" w:hAnsi="Calibri" w:cs="Calibri"/>
        </w:rPr>
      </w:pP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2339975" cy="1800333"/>
            <wp:docPr id="10" name="Picture 10"/>
            <wp:cNvGraphicFramePr>
              <a:graphicFrameLocks noChangeAspect="1"/>
            </wp:cNvGraphicFramePr>
            <a:graphic>
              <a:graphicData uri="http://schemas.openxmlformats.org/drawingml/2006/picture">
                <pic:pic>
                  <pic:nvPicPr>
                    <pic:cNvPr id="0" name="Fig1_flowchart.png"/>
                    <pic:cNvPicPr/>
                  </pic:nvPicPr>
                  <pic:blipFill>
                    <a:blip r:embed="rId11"/>
                    <a:stretch>
                      <a:fillRect/>
                    </a:stretch>
                  </pic:blipFill>
                  <pic:spPr>
                    <a:xfrm>
                      <a:off x="0" y="0"/>
                      <a:ext cx="2339975" cy="1800333"/>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2339975" cy="1800333"/>
            <wp:docPr id="11" name="Picture 11"/>
            <wp:cNvGraphicFramePr>
              <a:graphicFrameLocks noChangeAspect="1"/>
            </wp:cNvGraphicFramePr>
            <a:graphic>
              <a:graphicData uri="http://schemas.openxmlformats.org/drawingml/2006/picture">
                <pic:pic>
                  <pic:nvPicPr>
                    <pic:cNvPr id="0" name="Fig2_gradient_forest.png"/>
                    <pic:cNvPicPr/>
                  </pic:nvPicPr>
                  <pic:blipFill>
                    <a:blip r:embed="rId12"/>
                    <a:stretch>
                      <a:fillRect/>
                    </a:stretch>
                  </pic:blipFill>
                  <pic:spPr>
                    <a:xfrm>
                      <a:off x="0" y="0"/>
                      <a:ext cx="2339975" cy="1800333"/>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799590" cy="1799590"/>
            <wp:docPr id="12" name="Picture 12"/>
            <wp:cNvGraphicFramePr>
              <a:graphicFrameLocks noChangeAspect="1"/>
            </wp:cNvGraphicFramePr>
            <a:graphic>
              <a:graphicData uri="http://schemas.openxmlformats.org/drawingml/2006/picture">
                <pic:pic>
                  <pic:nvPicPr>
                    <pic:cNvPr id="0" name="Fig3_eyecare_dots.png"/>
                    <pic:cNvPicPr/>
                  </pic:nvPicPr>
                  <pic:blipFill>
                    <a:blip r:embed="rId13"/>
                    <a:stretch>
                      <a:fillRect/>
                    </a:stretch>
                  </pic:blipFill>
                  <pic:spPr>
                    <a:xfrm>
                      <a:off x="0" y="0"/>
                      <a:ext cx="1799590" cy="179959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top w:val="single" w:color="CCCCCC" w:sz="0" w:space="0"/>
              <w:left w:val="single" w:color="CCCCCC" w:sz="0" w:space="0"/>
              <w:bottom w:val="single" w:color="CCCCCC" w:sz="0" w:space="0"/>
              <w:right w:val="single" w:color="CCCCCC" w:sz="0" w:space="0"/>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p w14:paraId="4650902A">
      <w:pPr>
        <w:spacing w:after="120" w:line="360" w:lineRule="auto"/>
        <w:rPr>
          <w:rFonts w:hint="default" w:ascii="Calibri" w:hAnsi="Calibri" w:cs="Calibri"/>
        </w:rPr>
      </w:pPr>
      <w:r>
        <w:rPr>
          <w:rFonts w:hint="default" w:ascii="Calibri" w:hAnsi="Calibri" w:eastAsia="Arial" w:cs="Calibri"/>
          <w:b w:val="0"/>
          <w:i/>
          <w:iCs/>
        </w:rPr>
        <w:t>Supplementary Tables S1–S9 and Figures S1–S2 provide detailed cohort reconciliation, severity analyses, model diagnostics, sensitivity analyses, variable provenance and additional results. All supplementary values are generated from ‘numbers_v7.csv’.</w:t>
      </w:r>
    </w:p>
    <w:p w14:paraId="5741F85C">
      <w:pPr>
        <w:pBdr>
          <w:bottom w:val="single" w:color="999999" w:sz="6" w:space="1"/>
        </w:pBdr>
        <w:spacing w:line="360" w:lineRule="auto"/>
        <w:rPr>
          <w:rFonts w:hint="default" w:ascii="Calibri" w:hAnsi="Calibri" w:cs="Calibri"/>
        </w:rPr>
      </w:pP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