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applies a standardised protocol, whereas the questionnaire records whether participants recall being told they had a corresponding condition; the two differ in diagnostic threshold, terminology and susceptibility to recall error, and the microvascular signs seen in adults with diabetes are not attributable to diabetes alone. Even so, discordance persisted in advanced categories (a 15.7% gap in severe-or-proliferative retinopathy and 41.4% in late AMD), so it cannot be explained by the inclusion of mild imaging abnormalities alone. The small numbers with severe retinopathy and late AMD call for caution in reading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it did not survive Holm correction. Because the design is cross-sectional, we cannot tell whether eye-care contact improves recognition, whether a known diagnosis prompts examination, or whether both track severity and access; settling that direction requires prospective data.</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9094DEA">
      <w:pPr>
        <w:spacing w:after="120" w:line="360" w:lineRule="auto"/>
        <w:rPr>
          <w:rFonts w:hint="default" w:ascii="Calibri" w:hAnsi="Calibri" w:cs="Calibri"/>
        </w:rPr>
      </w:pPr>
      <w:r>
        <w:rPr>
          <w:rFonts w:hint="default" w:ascii="Calibri" w:hAnsi="Calibri" w:eastAsia="Arial" w:cs="Calibri"/>
          <w:b w:val="0"/>
          <w:bCs w:val="0"/>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complete analysis archive — dataset construction (build_dataset_v2.py), survey-weighted models (survey_analysis_v7.R), number consolidation (consolidate_v7.py), Nature-style figure generation (build_figures_v13.py) and end-to-end verification (verify_v7.py) — is deposited, version-tagged, in a public repository at https://github.com/teamhuang/eye3-nhanes-diagnosis-care-gap (release v10.0.0: https://github.com/teamhuang/eye3-nhanes-diagnosis-care-gap/releases/tag/v10.0.0). It redistributes no individual-level data; the public NHANES and NHIS source files must be downloaded separately from NCHS.</w:t>
      </w:r>
    </w:p>
    <w:p w14:paraId="252AB2A8">
      <w:pPr>
        <w:spacing w:after="120" w:line="360" w:lineRule="auto"/>
        <w:rPr>
          <w:rFonts w:hint="default" w:ascii="Calibri" w:hAnsi="Calibri" w:cs="Calibri"/>
        </w:rPr>
      </w:pPr>
      <w:r>
        <w:rPr>
          <w:rFonts w:hint="default" w:ascii="Calibri" w:hAnsi="Calibri" w:cs="Calibri"/>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3" name="Picture 13"/>
            <wp:cNvGraphicFramePr>
              <a:graphicFrameLocks noChangeAspect="1"/>
            </wp:cNvGraphicFramePr>
            <a:graphic>
              <a:graphicData uri="http://schemas.openxmlformats.org/drawingml/2006/picture">
                <pic:pic>
                  <pic:nvPicPr>
                    <pic:cNvPr id="0" name="Fig1_flowchart.png"/>
                    <pic:cNvPicPr/>
                  </pic:nvPicPr>
                  <pic:blipFill>
                    <a:blip r:embed="rId5"/>
                    <a:stretch>
                      <a:fillRect/>
                    </a:stretch>
                  </pic:blipFill>
                  <pic:spPr>
                    <a:xfrm>
                      <a:off x="0" y="0"/>
                      <a:ext cx="180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4" name="Picture 14"/>
            <wp:cNvGraphicFramePr>
              <a:graphicFrameLocks noChangeAspect="1"/>
            </wp:cNvGraphicFramePr>
            <a:graphic>
              <a:graphicData uri="http://schemas.openxmlformats.org/drawingml/2006/picture">
                <pic:pic>
                  <pic:nvPicPr>
                    <pic:cNvPr id="0" name="Fig2_gradient_forest.png"/>
                    <pic:cNvPicPr/>
                  </pic:nvPicPr>
                  <pic:blipFill>
                    <a:blip r:embed="rId6"/>
                    <a:stretch>
                      <a:fillRect/>
                    </a:stretch>
                  </pic:blipFill>
                  <pic:spPr>
                    <a:xfrm>
                      <a:off x="0" y="0"/>
                      <a:ext cx="1800000" cy="1800000"/>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bottom w:val="single" w:sz="6" w:space="0" w:color="auto"/>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bottom w:val="single" w:sz="6" w:space="0" w:color="auto"/>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bottom w:val="single" w:sz="6" w:space="0" w:color="auto"/>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bottom w:val="single" w:sz="6" w:space="0" w:color="auto"/>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Borders>
              <w:bottom w:val="single" w:sz="6" w:space="0" w:color="auto"/>
            </w:tcBorders>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3" Type="http://schemas.openxmlformats.org/officeDocument/2006/relationships/image" Target="media/image6.png"/><Relationship Id="rId5" Type="http://schemas.openxmlformats.org/officeDocument/2006/relationships/image" Target="media/image1.png"/><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