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Supplementary Materials</w:t>
      </w:r>
    </w:p>
    <w:p>
      <w:pPr>
        <w:pStyle w:val="Heading2"/>
      </w:pPr>
      <w:r>
        <w:rPr>
          <w:rFonts w:ascii="Arial" w:eastAsia="Microsoft YaHei"/>
        </w:rPr>
        <w:t xml:space="preserve">Objectively graded retinal disease, self-reported diagnosis, and eye-care utilisation in US adults (NHANES 2005–2008)</w:t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Supplementary values are generated by `code/survey_analysis_v4.R`–`v7.R`, consolidated in `results/tables/numbers_v7.csv` and audited by `code/verify_v7.py`; figures by `code/build_figures_v13.py`. Discordance denominators are responders-only. Proportion CIs are design-based logit (`svyciprop(method="logit")`); adjusted-odds-ratio CIs use the design t critical value at each model's residual degrees of freedom, matching the Wald P values. Tables and figures are numbered by first appearance in the main text; sub-parts are lettered (a)/(b)/(c) within a table.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Supplementary Figure S1. Grading-feasibility sensitivity (naive versus inverse-probability-weighted prevalence)</w:t>
      </w:r>
    </w:p>
    <w:p>
      <w:pPr>
        <w:jc w:val="center"/>
      </w:pPr>
      <w:r>
        <w:drawing>
          <wp:inline distT="0" distB="0" distL="0" distR="0">
            <wp:extent cx="4572000" cy="4572000"/>
            <wp:effectExtent t="0" r="0" b="0" l="0"/>
            <wp:docPr id="1" name="Figure S1" descr="Figure S1" title="Figure 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eastAsia="Microsoft YaHei"/>
          <w:i/>
          <w:iCs/>
          <w:color w:val="444444"/>
          <w:sz w:val="20"/>
          <w:szCs w:val="20"/>
        </w:rPr>
        <w:t xml:space="preserve">Figure S1</w:t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Naive (gradable-only) versus inverse-probability-weighted prevalence of any retinopathy and any AMD under base (age, sex, race) and extended (+ diabetes, insurance, education) gradability models; bars show 95% CIs. IPW shifts each estimate by ≤0.6 percentage points. Weight decomposition in Supplementary Table S8.</w:t>
      </w:r>
    </w:p>
    <w:p>
      <w:pPr>
        <w:pStyle w:val="Heading3"/>
      </w:pPr>
      <w:r>
        <w:rPr>
          <w:rFonts w:ascii="Arial" w:eastAsia="Microsoft YaHei"/>
        </w:rPr>
        <w:t xml:space="preserve">Supplementary Figure S2. Objectively graded versus self-reported AMD: NHANES imaging compared with NHIS self-report</w:t>
      </w:r>
    </w:p>
    <w:p>
      <w:pPr>
        <w:jc w:val="center"/>
      </w:pPr>
      <w:r>
        <w:drawing>
          <wp:inline distT="0" distB="0" distL="0" distR="0">
            <wp:extent cx="4572000" cy="4572000"/>
            <wp:effectExtent t="0" r="0" b="0" l="0"/>
            <wp:docPr id="1" name="Figure S2" descr="Figure S2" title="Figure S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eastAsia="Microsoft YaHei"/>
          <w:i/>
          <w:iCs/>
          <w:color w:val="444444"/>
          <w:sz w:val="20"/>
          <w:szCs w:val="20"/>
        </w:rPr>
        <w:t xml:space="preserve">Figure S2</w:t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NHANES objectively graded AMD (2005–2008, weighted 6.58%) versus NHIS self-reported macular degeneration (2016; crude 2.66%, age-standardised 2.45% to the NHANES 40+ structure); bars show 95% CIs. The surveys differ in instrument, year and method and are shown only as a contextual comparison. Detail in Supplementary Table S4.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Supplementary Table S1. Variable provenance (NHANES codes, official labels, valid values, analysis recoding)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Official labels are taken verbatim from the NHANES public-use files; valid-value counts are in the examined ≥40 sample. Exact self-report wording should be read from the NHANES questionnaire (Reference 13).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Variable</w:t>
            </w:r>
          </w:p>
        </w:tc>
        <w:tc>
          <w:tcPr>
            <w:tcW w:type="dxa" w:w="1504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Official label (from data file)</w:t>
            </w:r>
          </w:p>
        </w:tc>
        <w:tc>
          <w:tcPr>
            <w:tcW w:type="dxa" w:w="1504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Values used</w:t>
            </w:r>
          </w:p>
        </w:tc>
        <w:tc>
          <w:tcPr>
            <w:tcW w:type="dxa" w:w="1504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Analysis recoding</w:t>
            </w:r>
          </w:p>
        </w:tc>
        <w:tc>
          <w:tcPr>
            <w:tcW w:type="dxa" w:w="1504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Missing handling</w:t>
            </w:r>
          </w:p>
        </w:tc>
        <w:tc>
          <w:tcPr>
            <w:tcW w:type="dxa" w:w="1504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Source file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OPDUARMA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Any retinopathy, worse eye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 none (4,994) / 1 any (710) / ungradable NA (1,093)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any retinopathy = 1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ungradable NA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OPH_UE (retinal)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OPDURL4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4-level retinopathy severity, worse eye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 none (4,994) / 2 mild NPDR (573) / 3 moderate NPDR (106) / 4 severe-or-proliferative (31) / NA ungradable (1,093)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used as ordinal severity factor; </w:t>
            </w:r>
            <w:r>
              <w:rPr>
                <w:rFonts w:ascii="Arial" w:eastAsia="Microsoft YaHei"/>
                <w:b/>
                <w:bCs/>
              </w:rPr>
              <w:t xml:space="preserve">mild NPDR is the regression reference</w:t>
            </w:r>
            <w:r>
              <w:rPr>
                <w:rFonts w:ascii="Arial" w:eastAsia="Microsoft YaHei"/>
              </w:rPr>
              <w:t xml:space="preserve"> within the retinopathy cohort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ungradable NA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OPH_UE (retinal)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OPDUARM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Age-related maculopathy, 3 severity levels, worse eye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 none (5,163) / 1 early (386) / 2 late (55) / NA ungradable (1,193)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present = ≥1; late AMD = 2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ungradable NA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OPH_UE (retinal)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OPDUGA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Geographic atrophy, worse eye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 (5,593) / 1 (32) / NA ungradable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late-AMD phenotype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NA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OPH_UE (retinal)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OPDUEXU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Exudative (neovascular) AMD, worse eye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 (5,622) / 1 (23) / NA ungradable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late-AMD phenotype (mutually exclusive with GA here)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NA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OPH_UE (retinal)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DIQ010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Doctor told you have diabetes (diagnosed diabetes)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 yes (used to define diabetes)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diabetes = 1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DIQ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DIQ080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Ever told diabetes affected the eyes / retinopathy (asked only if DIQ010 = 1)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 yes / 0 no / refused-DK/missing NA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diagnosis reported = 1; </w:t>
            </w:r>
            <w:r>
              <w:rPr>
                <w:rFonts w:ascii="Arial" w:eastAsia="Microsoft YaHei"/>
                <w:b/>
                <w:bCs/>
              </w:rPr>
              <w:t xml:space="preserve">responders-only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NA = non-responder,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DIQ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DIQ360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Last time pupils dilated for eye exam (asked only if DIQ010 = 1)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&lt;1 mo / 1–12 mo / 13–24 mo / &gt;2 yr / never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examined-within-12-mo = first two categories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NA = non-responder,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DIQ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VIQ310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Ever told had macular degeneration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 yes / 0 no / NA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diagnosis reported = 1; responders-only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NA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VIQ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VIQ090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Ever told had glaucoma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 / 0 / NA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descriptive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NA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VIQ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VIQ071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Ever had cataract surgery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 / 0 / NA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descriptive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NA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VIQ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HIQ011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Health-care coverage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yes / no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insured vs uninsured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HIQ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HUQ030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Usual source of care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categories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descriptive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HUQ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WTMEC2YR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2-year MEC examination weight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continuous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÷ 2 when pooling cycles E+F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DEMO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SDMVSTRA</w:t>
            </w:r>
            <w:r>
              <w:rPr>
                <w:rFonts w:ascii="Arial" w:eastAsia="Microsoft YaHei"/>
              </w:rPr>
              <w:t xml:space="preserve">/</w:t>
            </w:r>
            <w:r>
              <w:rPr>
                <w:rFonts w:ascii="Consolas" w:cs="Consolas" w:eastAsia="Consolas" w:hAnsi="Consolas"/>
              </w:rPr>
              <w:t xml:space="preserve">SDMVPSU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Masked pseudo-stratum / pseudo-PSU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integers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design identifiers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DEMO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All retinal outcomes are person-level </w:t>
      </w:r>
      <w:r>
        <w:rPr>
          <w:rFonts w:ascii="Arial" w:eastAsia="Microsoft YaHei"/>
          <w:i/>
          <w:iCs/>
        </w:rPr>
        <w:t xml:space="preserve">worse-eye</w:t>
      </w:r>
      <w:r>
        <w:rPr>
          <w:rFonts w:ascii="Arial" w:eastAsia="Microsoft YaHei"/>
          <w:i/>
          <w:iCs/>
        </w:rPr>
        <w:t xml:space="preserve"> variables; the self-report items are patient-reported constructs. Valid-value counts are for the full examined ≥40 sample and differ from the disease-restricted denominators in Table S5.</w:t>
      </w:r>
    </w:p>
    <w:p>
      <w:pPr>
        <w:pStyle w:val="Heading3"/>
      </w:pPr>
      <w:r>
        <w:rPr>
          <w:rFonts w:ascii="Arial" w:eastAsia="Microsoft YaHei"/>
        </w:rPr>
        <w:t xml:space="preserve">Supplementary Table S2. Regression coefficients and design-degrees-of-freedom audit (all estimates read from the same fitted model object)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(a) Design degrees of freedom contributing to each analytic subset.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Analytic subset</w:t>
            </w:r>
          </w:p>
        </w:tc>
        <w:tc>
          <w:tcPr>
            <w:tcW w:type="dxa" w:w="1805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1805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Number of strata</w:t>
            </w:r>
          </w:p>
        </w:tc>
        <w:tc>
          <w:tcPr>
            <w:tcW w:type="dxa" w:w="1805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Total number of PSUs</w:t>
            </w:r>
          </w:p>
        </w:tc>
        <w:tc>
          <w:tcPr>
            <w:tcW w:type="dxa" w:w="1805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Design degrees of freedom (</w:t>
            </w:r>
            <w:r>
              <w:rPr>
                <w:rFonts w:ascii="Consolas" w:cs="Consolas" w:eastAsia="Consolas" w:hAnsi="Consolas"/>
              </w:rPr>
              <w:t xml:space="preserve">survey::degf</w:t>
            </w:r>
            <w:r>
              <w:rPr>
                <w:rFonts w:ascii="Arial" w:eastAsia="Microsoft YaHei"/>
              </w:rPr>
              <w:t xml:space="preserve">)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 responders (313)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313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59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28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responders (436)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436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61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30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 core complete-case model (187)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187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30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52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core complete-case model (226)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226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60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29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PSUs are unique stratum×PSU combinations; design df = total PSUs − strata, obtained with `survey::degf()`. Design df, model residual df and the `summary.svyglm` df are distinct — regression inference uses residual df = degf − rank + 1 (panel b).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(b) Per-model degrees-of-freedom and estimate audit.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</w:tblGrid>
      <w:tr>
        <w:tc>
          <w:tcPr>
            <w:tcW w:type="dxa" w:w="902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Model</w:t>
            </w:r>
          </w:p>
        </w:tc>
        <w:tc>
          <w:tcPr>
            <w:tcW w:type="dxa" w:w="902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</w:t>
            </w:r>
          </w:p>
        </w:tc>
        <w:tc>
          <w:tcPr>
            <w:tcW w:type="dxa" w:w="902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Design df (</w:t>
            </w:r>
            <w:r>
              <w:rPr>
                <w:rFonts w:ascii="Consolas" w:cs="Consolas" w:eastAsia="Consolas" w:hAnsi="Consolas"/>
              </w:rPr>
              <w:t xml:space="preserve">degf</w:t>
            </w:r>
            <w:r>
              <w:rPr>
                <w:rFonts w:ascii="Arial" w:eastAsia="Microsoft YaHei"/>
              </w:rPr>
              <w:t xml:space="preserve">)</w:t>
            </w:r>
          </w:p>
        </w:tc>
        <w:tc>
          <w:tcPr>
            <w:tcW w:type="dxa" w:w="902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Rank</w:t>
            </w:r>
          </w:p>
        </w:tc>
        <w:tc>
          <w:tcPr>
            <w:tcW w:type="dxa" w:w="902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Residual df</w:t>
            </w:r>
          </w:p>
        </w:tc>
        <w:tc>
          <w:tcPr>
            <w:tcW w:type="dxa" w:w="902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CI multiplier t(0.975, df)</w:t>
            </w:r>
          </w:p>
        </w:tc>
        <w:tc>
          <w:tcPr>
            <w:tcW w:type="dxa" w:w="902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Term</w:t>
            </w:r>
          </w:p>
        </w:tc>
        <w:tc>
          <w:tcPr>
            <w:tcW w:type="dxa" w:w="902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aOR (95% CI)</w:t>
            </w:r>
          </w:p>
        </w:tc>
        <w:tc>
          <w:tcPr>
            <w:tcW w:type="dxa" w:w="902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Raw P</w:t>
            </w:r>
          </w:p>
        </w:tc>
        <w:tc>
          <w:tcPr>
            <w:tcW w:type="dxa" w:w="902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Holm P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PRIMARY DR core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187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17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2.110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 (per yr)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0.99 (0.96–1.02)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0.65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Male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1.29 (0.45–3.71)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0.62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Education &lt;HS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0.67 (0.28–1.61)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0.35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Race non-White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1.57 (0.49–5.07)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0.43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Poverty-income ratio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1.34 (0.92–1.96)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0.119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0.594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PRIMARY AMD core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226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29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24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2.064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 (per yr)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0.93 (0.89–0.96)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0.00061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0.0031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Male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0.99 (0.32–3.08)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0.98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Education &lt;HS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0.82 (0.31–2.21)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0.69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Race non-White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1.56 (0.29–8.52)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0.59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Poverty-income ratio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0.88 (0.60–1.31)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0.52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SUPP DR + insurance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187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2.120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Poverty-income ratio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1.39 (0.96–2.00)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0.077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0.463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Uninsured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1.87 (0.57–6.13)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0.28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ANALYSIS A (eye-care)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187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13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2.160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Poverty-income ratio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1.49 (1.04–2.15)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0.033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0.261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Uninsured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0.72 (0.17–2.97)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0.62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Recent dilated exam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0.30 (0.10–0.92)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0.038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0.266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Severity grade 3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0.43 (0.15–1.21)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0.102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0.614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Severity grade 4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0.05 (0.01–0.24)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0.0011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0.0099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Every aOR, CI, SE, raw P and Holm P above was extracted programmatically from the single `svyglm` object for that model (keys `audit|</w:t>
      </w:r>
      <w:r>
        <w:rPr>
          <w:rFonts w:ascii="Consolas" w:cs="Consolas" w:eastAsia="Consolas" w:hAnsi="Consolas"/>
        </w:rPr>
        <w:t xml:space="preserve"> in </w:t>
      </w:r>
      <w:r>
        <w:rPr>
          <w:rFonts w:ascii="Arial" w:eastAsia="Microsoft YaHei"/>
        </w:rPr>
        <w:t xml:space="preserve">numbers_v7.csv</w:t>
      </w:r>
      <w:r>
        <w:rPr>
          <w:rFonts w:ascii="Consolas" w:cs="Consolas" w:eastAsia="Consolas" w:hAnsi="Consolas"/>
        </w:rPr>
        <w:t xml:space="preserve">); CIs use </w:t>
      </w:r>
      <w:r>
        <w:rPr>
          <w:rFonts w:ascii="Arial" w:eastAsia="Microsoft YaHei"/>
        </w:rPr>
        <w:t xml:space="preserve">exp(coef ± t(0.975, dfres)·SE)` at the residual df in the same row, so CI and P are mutually consistent. Holm adjustment is applied within each model.*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(c) Complete eye-care–awareness model (analysis A), adults with diabetes + objective retinopathy, responders, n = 187.</w:t>
      </w:r>
      <w:r>
        <w:rPr>
          <w:rFonts w:ascii="Arial" w:eastAsia="Microsoft YaHei"/>
        </w:rPr>
        <w:t xml:space="preserve"> Outcome = no self-reported diabetic-eye diagnosis. </w:t>
      </w:r>
      <w:r>
        <w:rPr>
          <w:rFonts w:ascii="Arial" w:eastAsia="Microsoft YaHei"/>
          <w:b/>
          <w:bCs/>
        </w:rPr>
        <w:t xml:space="preserve">Mild NPDR is the severity reference</w:t>
      </w:r>
      <w:r>
        <w:rPr>
          <w:rFonts w:ascii="Arial" w:eastAsia="Microsoft YaHei"/>
        </w:rPr>
        <w:t xml:space="preserve"> (levels present: mild 197, moderate 85, severe 31).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Term</w:t>
            </w:r>
          </w:p>
        </w:tc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aOR (95% CI)</w:t>
            </w:r>
          </w:p>
        </w:tc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Raw P</w:t>
            </w:r>
          </w:p>
        </w:tc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Holm P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Recent dilated exam (within 12 mo)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0.30 (0.10–0.92)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0.038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0.27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 (per year)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 (0.97–1.03)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0.872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Male vs female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1.09 (0.35–3.38)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0.876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Education &lt;HS vs ≥HS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0.90 (0.26–3.07)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0.852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Race non-White vs White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1.90 (0.58–6.23)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0.262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Poverty-income ratio (per unit)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1.49 (1.04–2.15)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0.033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0.26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Uninsured vs insured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0.72 (0.17–2.97)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0.625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Moderate NPDR (ref = </w:t>
            </w:r>
            <w:r>
              <w:rPr>
                <w:rFonts w:ascii="Arial" w:eastAsia="Microsoft YaHei"/>
                <w:b/>
                <w:bCs/>
              </w:rPr>
              <w:t xml:space="preserve">mild NPDR</w:t>
            </w:r>
            <w:r>
              <w:rPr>
                <w:rFonts w:ascii="Arial" w:eastAsia="Microsoft YaHei"/>
              </w:rPr>
              <w:t xml:space="preserve">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0.43 (0.15–1.21)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0.102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Severe-or-proliferative retinopathy (ref = </w:t>
            </w:r>
            <w:r>
              <w:rPr>
                <w:rFonts w:ascii="Arial" w:eastAsia="Microsoft YaHei"/>
                <w:b/>
                <w:bCs/>
              </w:rPr>
              <w:t xml:space="preserve">mild NPDR</w:t>
            </w:r>
            <w:r>
              <w:rPr>
                <w:rFonts w:ascii="Arial" w:eastAsia="Microsoft YaHei"/>
              </w:rPr>
              <w:t xml:space="preserve">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0.05 (0.01–0.24)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0.0011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0.010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Exploratory model; intervals use the design t critical value at residual df = 13. Only severe-or-proliferative retinopathy stayed significant after within-model Holm correction. Unadjusted, 82.0% (70.1–89.9) of those not examined within 12 months (n = 106) reported no diabetic-eye diagnosis versus 64.5% (55.9–72.2) of those examined (n = 207); model-adjusted (g-computation) predicted probability 81.8% vs 62.4% — descriptive point estimates, a design interval was unreliable given the sparse strata and is not reported (see main-text Figure 3). Eye-care × severity interaction aOR 1.61 (0.24–10.79), P = 0.59 — no evidence of effect modification.</w:t>
      </w:r>
    </w:p>
    <w:p>
      <w:pPr>
        <w:pStyle w:val="Heading3"/>
      </w:pPr>
      <w:r>
        <w:rPr>
          <w:rFonts w:ascii="Arial" w:eastAsia="Microsoft YaHei"/>
        </w:rPr>
        <w:t xml:space="preserve">Supplementary Table S3. Missing-data sensitivity for the DR cohort: complete-case, missing-indicator, reduced models, and multiple imputation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(a) Four handling strategies</w:t>
      </w:r>
      <w:r>
        <w:rPr>
          <w:rFonts w:ascii="Arial" w:eastAsia="Microsoft YaHei"/>
        </w:rPr>
        <w:t xml:space="preserve"> for the two high-missingness covariates (education, income): complete-case core model (n = 187); missing-indicator model retaining all 313 responders (median-filled income + missingness flags); reduced model dropping education (n = 283); and multiple imputation (m = 20, Rubin-pooled, n = 313).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Term</w:t>
            </w:r>
          </w:p>
        </w:tc>
        <w:tc>
          <w:tcPr>
            <w:tcW w:type="dxa" w:w="1805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Complete-case (n = 187) aOR (95% CI), Holm P</w:t>
            </w:r>
          </w:p>
        </w:tc>
        <w:tc>
          <w:tcPr>
            <w:tcW w:type="dxa" w:w="1805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Missing-indicator (n = 313) aOR (95% CI), P</w:t>
            </w:r>
          </w:p>
        </w:tc>
        <w:tc>
          <w:tcPr>
            <w:tcW w:type="dxa" w:w="1805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Reduced — drop education (n = 283) aOR (95% CI), P</w:t>
            </w:r>
          </w:p>
        </w:tc>
        <w:tc>
          <w:tcPr>
            <w:tcW w:type="dxa" w:w="1805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Multiple imputation (m = 20, n = 313) aOR (95% CI), P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 (per year)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0.99 (0.96–1.02), 1.00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 (0.97–1.03), 0.935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 (0.97–1.03), 0.842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 (0.98–1.03), 0.776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Male vs female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1.29 (0.45–3.71), 1.00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0.93 (0.44–1.96), 0.832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0.80 (0.36–1.75), 0.558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0.99 (0.49–2.01), 0.987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Education &lt;HS vs ≥HS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0.67 (0.28–1.61), 1.00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0.86 (0.38–1.95), 0.711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excluded by design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0.76 (0.33–1.79), 0.527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Race non-White vs White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1.57 (0.49–5.07), 1.00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1.27 (0.72–2.25), 0.397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1.18 (0.67–2.06), 0.553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1.38 (0.82–2.34), 0.221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Poverty-income ratio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1.34 (0.92–1.96), 0.59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1.48 (1.10–1.99), 0.013 (median-filled)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1.46 (1.08–1.97), 0.017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1.38 (1.02–1.87), 0.037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Income-missing indicator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1.08 (0.33–3.56), 0.894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Education-missing indicator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0.70 (0.30–1.60), 0.375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The income estimate is above 1 in every specification (1.34–1.48) — the direction is stable but precision depends on missing-data handling, so higher income is a tentative correlate, not an established driver. These results do not establish that the missingness mechanism is ignorable. Attrition: entrants (n = 187) vs excluded (n = 126) were similar on the outcome (66.8% vs 68.3%) and differed mainly in age (65.2 vs 61.6 years).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(b) Imputation diagnostics (DR responders, n = 313).</w:t>
      </w:r>
      <w:r>
        <w:rPr>
          <w:rFonts w:ascii="Arial" w:eastAsia="Microsoft YaHei"/>
        </w:rPr>
        <w:t xml:space="preserve"> Missingness: education 32.6%, income 9.6%; all other imputation variables 0%. The income aOR was above 1 in each of the 20 imputations (pooled 1.388, range 1.24–1.49, SD 0.048; keys </w:t>
      </w:r>
      <w:r>
        <w:rPr>
          <w:rFonts w:ascii="Consolas" w:cs="Consolas" w:eastAsia="Consolas" w:hAnsi="Consolas"/>
        </w:rPr>
        <w:t xml:space="preserve">mimi|*</w:t>
      </w:r>
      <w:r>
        <w:rPr>
          <w:rFonts w:ascii="Arial" w:eastAsia="Microsoft YaHei"/>
        </w:rPr>
        <w:t xml:space="preserve">). These are </w:t>
      </w:r>
      <w:r>
        <w:rPr>
          <w:rFonts w:ascii="Arial" w:eastAsia="Microsoft YaHei"/>
          <w:b/>
          <w:bCs/>
        </w:rPr>
        <w:t xml:space="preserve">not 20 independent replications</w:t>
      </w:r>
      <w:r>
        <w:rPr>
          <w:rFonts w:ascii="Arial" w:eastAsia="Microsoft YaHei"/>
        </w:rPr>
        <w:t xml:space="preserve"> — they share the same data and assumptions — and convergence diagnostics were not generated, so this is a limited stability check only; multiple imputation does not reproduce the survey-design variance.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(c) Missingness-mechanism models (descriptive).</w:t>
      </w:r>
      <w:r>
        <w:rPr>
          <w:rFonts w:ascii="Arial" w:eastAsia="Microsoft YaHei"/>
        </w:rPr>
        <w:t xml:space="preserve"> Education-missingness was associated with younger age (OR 0.94/yr) and insurance (both P &lt; 0.001) but </w:t>
      </w:r>
      <w:r>
        <w:rPr>
          <w:rFonts w:ascii="Arial" w:eastAsia="Microsoft YaHei"/>
          <w:b/>
          <w:bCs/>
        </w:rPr>
        <w:t xml:space="preserve">not</w:t>
      </w:r>
      <w:r>
        <w:rPr>
          <w:rFonts w:ascii="Arial" w:eastAsia="Microsoft YaHei"/>
        </w:rPr>
        <w:t xml:space="preserve"> with the outcome (OR 0.995, P = 0.99); income-missingness with race/ethnicity (non-White OR 4.11, P = 0.011) but </w:t>
      </w:r>
      <w:r>
        <w:rPr>
          <w:rFonts w:ascii="Arial" w:eastAsia="Microsoft YaHei"/>
          <w:b/>
          <w:bCs/>
        </w:rPr>
        <w:t xml:space="preserve">not</w:t>
      </w:r>
      <w:r>
        <w:rPr>
          <w:rFonts w:ascii="Arial" w:eastAsia="Microsoft YaHei"/>
        </w:rPr>
        <w:t xml:space="preserve"> with the outcome (OR 1.21, P = 0.73). These do not establish a missing-at-random mechanism and cannot exclude unobserved bias. A reduced model dropping both education and income (n = 313) left age, sex and race, none associated with the outcome (all P &gt; 0.5); because it excludes income it does not test the consistency of the income association above.</w:t>
      </w:r>
    </w:p>
    <w:p>
      <w:pPr>
        <w:pStyle w:val="Heading3"/>
      </w:pPr>
      <w:r>
        <w:rPr>
          <w:rFonts w:ascii="Arial" w:eastAsia="Microsoft YaHei"/>
        </w:rPr>
        <w:t xml:space="preserve">Supplementary Table S4. NHIS 2016 benchmark: self-reported eye disease, eye-care use, direct age-standardisation and denominator trace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(a) NHIS 2016 self-reported eye disease and eye-care utilisation (US adults ≥40).</w:t>
      </w:r>
      <w:r>
        <w:rPr>
          <w:rFonts w:ascii="Arial" w:eastAsia="Microsoft YaHei"/>
        </w:rPr>
        <w:t xml:space="preserve"> This is the cross-survey benchmark referenced in the main text.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Measure (NHIS 2016, adults ≥40)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Weighted % (95% CI)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Diabetic retinopathy (ever told)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22,330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1.27 (1.09–1.46)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Macular degeneration (ever told)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22,310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2.66 (2.40–2.91)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Saw eye doctor within 12 months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22,112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48.71 (47.69–49.72)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Dilated eye exam within 12 months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22,142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49.93 (48.87–51.00)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Dilated eye exam within 12 months, among adults with diabetes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3,261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67.73 (65.59–69.88)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Denominator trace for the 1.27% figure: NHIS asks the eye item (VIM_DREV) of ALL Sample Adults without a diabetes branch screener, unlike NHANES DIQ080 (asked only of those reporting diabetes), so 1.27% is a whole ≥40 self-reported prevalence (n = 22,330), not a rate among NHIS diabetics. A diabetes-restricted analogue (8.18%) is in `results/sr_nhis_dr_denom_trace_v10.csv`.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(b) Direct age-standardisation of the NHIS self-reported macular-degeneration proportion to the NHANES 40+ structure.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 band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NHIS weighted rate (%)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Standard-population weight (NHANES)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40–49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0.47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0.3358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50–59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0.2894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60–69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2.48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0.1832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70–79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5.26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0.1207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80+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12.71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0.0709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Crude weighted (≥40)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2.66 (2.40–2.91)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Directly age-standardised (design covariance)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2.45 (2.22–2.69)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Standard weights are the survey-weighted NHANES 40+ distribution across the five bands (80+ includes the 85+ top-coded group). The standardised CI uses the full design covariance between bands, widening it slightly (2.23–2.68 → 2.22–2.69).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(c) Standardisation with full design covariance and an age-and-sex variant.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Quantity</w:t>
            </w:r>
          </w:p>
        </w:tc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Estimate (%)</w:t>
            </w:r>
          </w:p>
        </w:tc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95% CI</w:t>
            </w:r>
          </w:p>
        </w:tc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Method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NHIS crude weighted (≥40)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2.66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2.40–2.91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design-based mean of self-reported macular degeneration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NHIS age-standardised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2.45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2.22–2.69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reweighting identity; full design covariance; standard weights fixed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NHIS age-and-sex-standardised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2.46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2.22–2.70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ten age×sex cells; joint NHANES weights; same method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Standard weights are fixed, so each interval is conditional on them. Age-and-sex (2.46%) ≈ age-only (2.45%). Because NHANES (2005–2008 imaging) and NHIS (2016 self-report) differ in year and instrument, the 6.58%-vs-2.45% gap cannot be attributed solely to under-diagnosis.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(d) Additional NHIS 2016 self-reported eye disease (outside the objective-versus-reported comparison).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Measure (NHIS 2016, adults ≥40)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Weighted % (95% CI)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Glaucoma (ever told)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22,332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3.97 (3.66–4.28)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Cataract (ever told you have cataract)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22,343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21.17 (20.37–21.96)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Construct mismatch: the NHIS item is "ever told you have cataract" while the NHANES figure (Supplementary Table S5d) is cataract-</w:t>
      </w:r>
      <w:r>
        <w:rPr>
          <w:rFonts w:ascii="Arial" w:eastAsia="Microsoft YaHei"/>
          <w:i/>
          <w:iCs/>
        </w:rPr>
        <w:t xml:space="preserve">surgery</w:t>
      </w:r>
      <w:r>
        <w:rPr>
          <w:rFonts w:ascii="Arial" w:eastAsia="Microsoft YaHei"/>
          <w:i/>
          <w:iCs/>
        </w:rPr>
        <w:t xml:space="preserve"> history — different endpoints, not compared. NHIS glaucoma has no NHANES imaging analogue.</w:t>
      </w:r>
    </w:p>
    <w:p>
      <w:pPr>
        <w:pStyle w:val="Heading3"/>
      </w:pPr>
      <w:r>
        <w:rPr>
          <w:rFonts w:ascii="Arial" w:eastAsia="Microsoft YaHei"/>
        </w:rPr>
        <w:t xml:space="preserve">Supplementary Table S5. Screening, per-variable missingness, model-denominator reconciliation, and additional NHANES descriptive context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(a) Cohort build-up (NHANES 2005–2008, examined adults ≥40).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Step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 cohort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cohort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Examined adults ≥40 with retinal photography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6,797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6,797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Gradable retinal image (worse eye)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5,704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5,604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Objectively graded disease present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319 (diabetes + retinopathy)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441 (any AMD)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Answered the self-report diagnosis item → </w:t>
            </w:r>
            <w:r>
              <w:rPr>
                <w:rFonts w:ascii="Arial" w:eastAsia="Microsoft YaHei"/>
                <w:b/>
                <w:bCs/>
              </w:rPr>
              <w:t xml:space="preserve">primary gap denominator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313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436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Non-responders excluded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(b) Per-variable missingness among gap-eligible responders.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Cohort</w:t>
            </w:r>
          </w:p>
        </w:tc>
        <w:tc>
          <w:tcPr>
            <w:tcW w:type="dxa" w:w="1289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Eligible (responders)</w:t>
            </w:r>
          </w:p>
        </w:tc>
        <w:tc>
          <w:tcPr>
            <w:tcW w:type="dxa" w:w="1289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Missing education</w:t>
            </w:r>
          </w:p>
        </w:tc>
        <w:tc>
          <w:tcPr>
            <w:tcW w:type="dxa" w:w="1289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Missing income</w:t>
            </w:r>
          </w:p>
        </w:tc>
        <w:tc>
          <w:tcPr>
            <w:tcW w:type="dxa" w:w="1289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Missing insurance</w:t>
            </w:r>
          </w:p>
        </w:tc>
        <w:tc>
          <w:tcPr>
            <w:tcW w:type="dxa" w:w="1289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Missing usual source</w:t>
            </w:r>
          </w:p>
        </w:tc>
        <w:tc>
          <w:tcPr>
            <w:tcW w:type="dxa" w:w="1289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Missing dilated-exam item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313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102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30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436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188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42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377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The AMD dilated-exam item is missing for 377/436 because `DIQ360` is asked only of people with diabetes; only 59 AMD responders were diabetic, so the eye-care–awareness analysis cannot be run for AMD.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(c) Model-denominator reconciliation.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Quantity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Descriptive diagnosis-gap denominator (responders)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436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Core complete-case model (education AND income complete)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226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Core + insurance (education, income, insurance complete)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Missing-indicator sensitivity model (retains all responders; income median-filled + income &amp; education missingness flags)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Multiple-imputation model (m = 20, Rubin-pooled; retains all responders)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Reduced model (education dropped, income kept)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283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Education-complete subset — </w:t>
            </w:r>
            <w:r>
              <w:rPr>
                <w:rFonts w:ascii="Arial" w:eastAsia="Microsoft YaHei"/>
                <w:b/>
                <w:bCs/>
              </w:rPr>
              <w:t xml:space="preserve">descriptive count only, not a fitted model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211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Insurance descriptive (coverage known)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225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The reduction from 313 (436) to the core 187 (226) is driven by missing education and income. The missing-indicator model retains all 313 responders and is a stability check, not evidence that missingness is ignorable; it is distinct from the education-complete count of 211, which is descriptive only. </w:t>
      </w:r>
      <w:r>
        <w:rPr>
          <w:rFonts w:ascii="Arial" w:eastAsia="Microsoft YaHei"/>
          <w:i/>
          <w:iCs/>
        </w:rPr>
        <w:t xml:space="preserve">AMD insurance (moved here because it is not a fitted term):</w:t>
      </w:r>
      <w:r>
        <w:rPr>
          <w:rFonts w:ascii="Arial" w:eastAsia="Microsoft YaHei"/>
          <w:i/>
          <w:iCs/>
        </w:rPr>
        <w:t xml:space="preserve"> among the 225 AMD responders with known coverage, 177/211 insured (83.9%) and 14/14 uninsured reported no prior diagnosis; the uninsured stratum perfectly separated from the outcome, so an insured-vs-uninsured OR is not estimable and AMD excludes insurance.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(d) Additional NHANES descriptive measures (moved out of the main prevalence table).</w:t>
      </w:r>
      <w:r>
        <w:rPr>
          <w:rFonts w:ascii="Arial" w:eastAsia="Microsoft YaHei"/>
        </w:rPr>
        <w:t xml:space="preserve"> These are </w:t>
      </w:r>
      <w:r>
        <w:rPr>
          <w:rFonts w:ascii="Arial" w:eastAsia="Microsoft YaHei"/>
          <w:b/>
          <w:bCs/>
        </w:rPr>
        <w:t xml:space="preserve">not</w:t>
      </w:r>
      <w:r>
        <w:rPr>
          <w:rFonts w:ascii="Arial" w:eastAsia="Microsoft YaHei"/>
        </w:rPr>
        <w:t xml:space="preserve"> part of the objective-versus-reported comparison.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Measure (NHANES 2005–2008, examined ≥40)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Weighted % (95% CI)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Any health insurance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6,788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87.4 (85.1–89.4)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Self-reported glaucoma diagnosis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6,760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5.06 (4.41–5.80)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Self-reported cataract surgery (VIQ071)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6,790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11.07 (10.03–12.21)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Construct: NHANES records cataract-</w:t>
      </w:r>
      <w:r>
        <w:rPr>
          <w:rFonts w:ascii="Arial" w:eastAsia="Microsoft YaHei"/>
          <w:i/>
          <w:iCs/>
        </w:rPr>
        <w:t xml:space="preserve">surgery</w:t>
      </w:r>
      <w:r>
        <w:rPr>
          <w:rFonts w:ascii="Arial" w:eastAsia="Microsoft YaHei"/>
          <w:i/>
          <w:iCs/>
        </w:rPr>
        <w:t xml:space="preserve"> history (`VIQ071`), unlike the NHIS "ever told you had cataract" item in Supplementary Table S4(d); the two are not compared.</w:t>
      </w:r>
    </w:p>
    <w:p>
      <w:pPr>
        <w:pStyle w:val="Heading3"/>
      </w:pPr>
      <w:r>
        <w:rPr>
          <w:rFonts w:ascii="Arial" w:eastAsia="Microsoft YaHei"/>
        </w:rPr>
        <w:t xml:space="preserve">Supplementary Table S6. Extreme-scenario non-response bounds (survey-weighted, not simple count arithmetic)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Cohort</w:t>
            </w:r>
          </w:p>
        </w:tc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Responders-only (primary)</w:t>
            </w:r>
          </w:p>
        </w:tc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If all non-responders were "diagnosed"</w:t>
            </w:r>
          </w:p>
        </w:tc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If all non-responders were "undiagnosed"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 (n = 319 base; 6 non-responders)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70.2 (63.8–75.9)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69.2 (62.5–75.2)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70.6 (64.4–76.1)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(n = 441 base; 5 non-responders)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82.2 (77.3–86.2)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81.6 (76.7–85.7)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82.3 (77.5–86.3)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Bounds were recomputed with the full survey weights (non-responders set to all-diagnosed then all-undiagnosed), not by count arithmetic. The primary estimate lies within the ~1–1.4-point bounds, so the headline gaps are not driven by the few non-responders.</w:t>
      </w:r>
    </w:p>
    <w:p>
      <w:pPr>
        <w:pStyle w:val="Heading3"/>
      </w:pPr>
      <w:r>
        <w:rPr>
          <w:rFonts w:ascii="Arial" w:eastAsia="Microsoft YaHei"/>
        </w:rPr>
        <w:t xml:space="preserve">Supplementary Table S7. Diagnosis discordance by severity, stage and age (survey-weighted % with no self-reported diagnosis; responders; logit CIs)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(a) DR diagnosis gap by retinopathy severity.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Stratum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% (95% CI)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Any retinopathy (primary)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70.2 (63.8–75.9)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Mild NPDR (OPDURL4 = 2)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197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78.1 (71.3–83.7)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Moderate NPDR (OPDURL4 = 3)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64.4 (48.3–77.8)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Severe-or-proliferative (OPDURL4 = 4)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15.7 (5.0–39.7)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Moderate-or-worse (pooled, </w:t>
            </w:r>
            <w:r>
              <w:rPr>
                <w:rFonts w:ascii="Arial" w:eastAsia="Microsoft YaHei"/>
                <w:b/>
                <w:bCs/>
              </w:rPr>
              <w:t xml:space="preserve">overlapping</w:t>
            </w:r>
            <w:r>
              <w:rPr>
                <w:rFonts w:ascii="Arial" w:eastAsia="Microsoft YaHei"/>
              </w:rPr>
              <w:t xml:space="preserve"> summary)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116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53.4 (38.7–67.5)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*</w:t>
      </w:r>
      <w:r>
        <w:rPr>
          <w:rFonts w:ascii="Arial" w:eastAsia="Microsoft YaHei"/>
          <w:i/>
          <w:iCs/>
        </w:rPr>
        <w:t xml:space="preserve">(b) Self-reported diabetic-eye diagnosis (percent </w:t>
      </w:r>
      <w:r>
        <w:rPr>
          <w:rFonts w:ascii="Arial" w:eastAsia="Microsoft YaHei"/>
        </w:rPr>
        <w:t xml:space="preserve">diagnosed</w:t>
      </w:r>
      <w:r>
        <w:rPr>
          <w:rFonts w:ascii="Arial" w:eastAsia="Microsoft YaHei"/>
          <w:i/>
          <w:iCs/>
        </w:rPr>
        <w:t xml:space="preserve">) by severity, for contrast.</w:t>
      </w:r>
      <w:r>
        <w:rPr>
          <w:rFonts w:ascii="Arial" w:eastAsia="Microsoft YaHei"/>
        </w:rPr>
        <w:t xml:space="preserve">*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Stratum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% diagnosed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No gradable retinopathy (OPDURL4 = 1)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560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16.6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Mild NPDR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197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21.9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Moderate NPDR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35.6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Severe-or-proliferative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84.3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(c) AMD diagnosis gap by stage and late phenotype.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Stratum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% (95% CI)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Any AMD (primary, all stages)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436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82.2 (77.3–86.2)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Early AMD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381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87.9 (84.4–90.6)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Late AMD (clinically relevant)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41.4 (25.3–59.6)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Geographic atrophy (high-severity)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32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50.3 (26.6–73.9)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Exudative / neovascular AMD (high-severity)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27.7 (8.0–62.9)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(d) Diagnosis gap by age stratum.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Cohort / band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% (95% CI)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40–59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99.1 (95.6–99.8)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60–74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86.6 (77.8–92.3)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≥75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196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66.7 (60.1–72.6)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≥50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406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79.7 (75.0–83.8)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 40–59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73.4 (59.9–83.6)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 60–74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66.5 (58.6–73.6)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 ≥75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71.1 (56.0–82.7)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The severity counts (560/197/85/31 = 873) are diabetes-restricted gradable responders who answered `DIQ080`; the retinopathy subset (197+85+31 = 313) equals the primary DR denominator. Early/late AMD gaps use their own responder sets (381, 55), not percentage subtraction. Late-AMD and high-severity strata are small and reported as design-weighted proportions only; the geographic-atrophy vs neovascular difference has wide, overlapping intervals and is not an established group difference. The two late-AMD phenotypes are separate flags (`OPDUGA`, `OPDUEXU`) and no worse eye carried both (0 of 55), so 32 + 23 = 55 reproduces the late total; a bilateral-mixed pattern could be undercounted, so read these as an approximately mutually exclusive partition.</w:t>
      </w:r>
    </w:p>
    <w:p>
      <w:pPr>
        <w:pStyle w:val="Heading3"/>
      </w:pPr>
      <w:r>
        <w:rPr>
          <w:rFonts w:ascii="Arial" w:eastAsia="Microsoft YaHei"/>
        </w:rPr>
        <w:t xml:space="preserve">Supplementary Table S8. Grading feasibility: gradable vs ungradable comparison and inverse-probability-weighted prevalence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(a) Observable characteristics of gradable vs ungradable images (person-level, examined ≥40).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c>
          <w:tcPr>
            <w:tcW w:type="dxa" w:w="112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Group</w:t>
            </w:r>
          </w:p>
        </w:tc>
        <w:tc>
          <w:tcPr>
            <w:tcW w:type="dxa" w:w="112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</w:t>
            </w:r>
          </w:p>
        </w:tc>
        <w:tc>
          <w:tcPr>
            <w:tcW w:type="dxa" w:w="112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Mean age</w:t>
            </w:r>
          </w:p>
        </w:tc>
        <w:tc>
          <w:tcPr>
            <w:tcW w:type="dxa" w:w="112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Male %</w:t>
            </w:r>
          </w:p>
        </w:tc>
        <w:tc>
          <w:tcPr>
            <w:tcW w:type="dxa" w:w="112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Diabetes %</w:t>
            </w:r>
          </w:p>
        </w:tc>
        <w:tc>
          <w:tcPr>
            <w:tcW w:type="dxa" w:w="112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Non-White %</w:t>
            </w:r>
          </w:p>
        </w:tc>
        <w:tc>
          <w:tcPr>
            <w:tcW w:type="dxa" w:w="112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Insured %</w:t>
            </w:r>
          </w:p>
        </w:tc>
        <w:tc>
          <w:tcPr>
            <w:tcW w:type="dxa" w:w="112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Education &lt;HS %</w:t>
            </w:r>
          </w:p>
        </w:tc>
      </w:tr>
      <w:tr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Gradable (retinopathy)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5,704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59.6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50.1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15.9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46.4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83.7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14.4</w:t>
            </w:r>
          </w:p>
        </w:tc>
      </w:tr>
      <w:tr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Ungradable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1,093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64.5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47.3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22.1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55.4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86.2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23.2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Ungradable-image participants were older, more often diabetic and less often high-school-educated.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(b) Naive vs inverse-probability-weighted (IPW) whole-population prevalence, and full weight decomposition.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Measure</w:t>
            </w:r>
          </w:p>
        </w:tc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Naive (gradable-only) %</w:t>
            </w:r>
          </w:p>
        </w:tc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IPW, base model %</w:t>
            </w:r>
          </w:p>
        </w:tc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IPW, extended model %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Any retinopathy (all ≥40)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9.75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9.98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10.13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Any AMD (all ≥40)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6.58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6.87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6.77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The large values below are the </w:t>
      </w:r>
      <w:r>
        <w:rPr>
          <w:rFonts w:ascii="Arial" w:eastAsia="Microsoft YaHei"/>
          <w:b/>
          <w:bCs/>
        </w:rPr>
        <w:t xml:space="preserve">combined survey weight</w:t>
      </w:r>
      <w:r>
        <w:rPr>
          <w:rFonts w:ascii="Arial" w:eastAsia="Microsoft YaHei"/>
        </w:rPr>
        <w:t xml:space="preserve"> (baseline MEC weight × inverse-probability factor), not the inverse-probability factor itself, which is modest.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Quantity (over the 5,704 gradable respondents)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Base model (age, sex, race)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Extended model (+ diabetes, insurance, education)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Gradability probability P (min / median / max)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0.637 / 0.849 / 0.938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0.569 / 0.915 / 1.000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Observations truncated by the 0.05 probability floor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Inverse-probability factor 1/P (min / median / max)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1.07 / 1.18 / 1.57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 / 1.09 / 1.76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Combined survey weight (median / max)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16,566 / 110,456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15,545 / 115,872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Kish effective sample size of the combined weights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3,656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3,635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Kish effective sample size of the raw (un-IPW'd) weights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3,508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3,508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Complete-case rows used to </w:t>
            </w:r>
            <w:r>
              <w:rPr>
                <w:rFonts w:ascii="Arial" w:eastAsia="Microsoft YaHei"/>
                <w:i/>
                <w:iCs/>
              </w:rPr>
              <w:t xml:space="preserve">fit</w:t>
            </w:r>
            <w:r>
              <w:rPr>
                <w:rFonts w:ascii="Arial" w:eastAsia="Microsoft YaHei"/>
              </w:rPr>
              <w:t xml:space="preserve"> the gradability model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6,797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3,687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Gradability was modelled with base (age, sex, race) and extended (+ diabetes, insurance, education) specifications; respondents were reweighted by 1/P with a 0.05 floor. The smallest P was 0.637 (base) and 0.569 (extended), so the floor was </w:t>
      </w:r>
      <w:r>
        <w:rPr>
          <w:rFonts w:ascii="Arial" w:eastAsia="Microsoft YaHei"/>
          <w:i/>
          <w:iCs/>
        </w:rPr>
        <w:t xml:space="preserve">never binding</w:t>
      </w:r>
      <w:r>
        <w:rPr>
          <w:rFonts w:ascii="Arial" w:eastAsia="Microsoft YaHei"/>
          <w:i/>
          <w:iCs/>
        </w:rPr>
        <w:t xml:space="preserve">. The extended model fitted only 3,687 complete-covariate respondents (vs 6,797), so it targets a slightly different effective population. IPW moved prevalence by ≤0.6 points; combined-weight ESS ≈ raw-weight ESS is a </w:t>
      </w:r>
      <w:r>
        <w:rPr>
          <w:rFonts w:ascii="Arial" w:eastAsia="Microsoft YaHei"/>
          <w:i/>
          <w:iCs/>
        </w:rPr>
        <w:t xml:space="preserve">limited stability check only</w:t>
      </w:r>
      <w:r>
        <w:rPr>
          <w:rFonts w:ascii="Arial" w:eastAsia="Microsoft YaHei"/>
          <w:i/>
          <w:iCs/>
        </w:rPr>
        <w:t xml:space="preserve">. IPW corrects for observable differences; unobserved grading selection remains possible.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(c) Discordance-specific selection sensitivity (does the gap itself depend on gradability weighting?).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Outcome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Responders, standard weights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IPW for gradability (extended model)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 diagnosis gap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70.2 (63.8–75.9)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70.2 (64.1–75.6)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diagnosis gap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82.2 (77.3–86.2)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82.0 (77.1–86.0)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Reweighting the DR and AMD responder sets by 1/P(gradable) barely changed the gaps (DR 70.2→70.2; AMD 82.2→82.0); this still cannot exclude unmeasured selection among ungradable participants.</w:t>
      </w:r>
    </w:p>
    <w:p>
      <w:pPr>
        <w:pStyle w:val="Heading3"/>
      </w:pPr>
      <w:r>
        <w:rPr>
          <w:rFonts w:ascii="Arial" w:eastAsia="Microsoft YaHei"/>
        </w:rPr>
        <w:t xml:space="preserve">Supplementary Table S9. Is the AMD age gradient independent of disease severity?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The AMD diagnosis gap falls steeply with age (from ~99% in the youngest band to ~67% in the oldest). Because older participants also carry more late AMD, we tested whether the gradient is a proxy for severity (both at the residual df of the same objects as Table S2b).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(a) Age adjusted for AMD stage (logistic, no-reported-diagnosis outcome).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Term</w:t>
            </w:r>
          </w:p>
        </w:tc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aOR (95% CI)</w:t>
            </w:r>
          </w:p>
        </w:tc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Raw P</w:t>
            </w:r>
          </w:p>
        </w:tc>
        <w:tc>
          <w:tcPr>
            <w:tcW w:type="dxa" w:w="2256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Holm P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 (per year)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0.92 (0.89–0.95)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7.9 × 10⁻⁶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2.4 × 10⁻⁵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Late vs early stage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0.18 (0.08–0.37)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6.1 × 10⁻⁵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1.2 × 10⁻⁴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Male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1.02 (0.52–1.98)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0.96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n = 436 AMD responders with a gradable stage; design df = 30, rank = 4, residual df = 27, t(0.975, 27) = 2.052. Adjusting for severity barely changes the age term (0.93 → 0.92/yr), and late stage is independently associated with a much lower gap.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(b) Age strata within early AMD only (severity held roughly constant).</w:t>
      </w:r>
    </w:p>
    <w:tbl>
      <w:tblPr>
        <w:tblW w:type="dxa" w:w="9026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Stratum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3008"/>
            <w:tcBorders>
              <w:bottom w:val="single" w:sz="6" w:space="0" w:color="auto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Gap % (95% CI)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Early AMD, age 40–59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74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99.1 (95.6–99.8)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Early AMD, age 60–69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92.4 (80.5–97.3)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Early AMD, age 70+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78.4 (72.9–82.9)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Within early AMD the gap still falls with age (99.1% → 92.4% → 78.4%). Together with (a) this shows the age gradient is not an artefact of older people being more severely affected; it is consistent with greater cumulative eye-care contact with age, but the cross-sectional design cannot establish that ageing causes higher awareness.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8f67933625ee7674754ddaa7c8b79e31719cc34.png"/><Relationship Id="rId8" Type="http://schemas.openxmlformats.org/officeDocument/2006/relationships/image" Target="media/ba4f72bccf807e58c40482dede4065207bd3298e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2026-11-01T04:01:24.887Z</dcterms:created>
  <dcterms:modified xsi:type="dcterms:W3CDTF">2026-11-01T04:01:24.888Z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