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rPr>
        <w:t>Corresponding authors:</w:t>
      </w:r>
      <w:r>
        <w:rPr>
          <w:rFonts w:hint="default" w:ascii="Calibri" w:hAnsi="Calibri" w:eastAsia="Arial" w:cs="Calibri"/>
          <w:b w:val="0"/>
        </w:rPr>
        <w:t xml:space="preserve"> Jianhuang Huang (teamhuang@sina.com); Jing Wang (13273530801@163.com)</w:t>
      </w:r>
    </w:p>
    <w:p w14:paraId="0A8250CD">
      <w:pPr>
        <w:spacing w:after="120" w:line="360" w:lineRule="auto"/>
        <w:rPr>
          <w:rFonts w:hint="default" w:ascii="Calibri" w:hAnsi="Calibri" w:cs="Calibri"/>
        </w:rPr>
      </w:pPr>
      <w:r>
        <w:rPr>
          <w:rFonts w:hint="default" w:ascii="Calibri" w:hAnsi="Calibri" w:eastAsia="Arial" w:cs="Calibri"/>
          <w:b w:val="0"/>
          <w:bCs/>
        </w:rPr>
        <w:t>Keywords:</w:t>
      </w:r>
      <w:r>
        <w:rPr>
          <w:rFonts w:hint="default" w:ascii="Calibri" w:hAnsi="Calibri" w:eastAsia="Arial" w:cs="Calibri"/>
          <w:b w:val="0"/>
        </w:rPr>
        <w:t xml:space="preserve"> diabetic retinopathy; age-related macular degeneration; diagnosis awareness; health services utilisation; NHANES; NHIS</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rPr>
      </w:pPr>
      <w:r>
        <w:rPr>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b w:val="0"/>
        </w:rPr>
        <w:t>National surveys have measured the prevalence of these conditions extensively.⁶⁻⁸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b w:val="0"/>
        </w:rPr>
        <w:t>Of 6,797 examined adults aged ≥40 with retinal photography, 5,704 had a gradable retinopathy image and 5,604 a gradable AMD image (Supplementary Table S1, Figure 1). Because the diagnosis-discordance outcome requires an answer to the corresponding self-report item, all denominators below are responders.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S1). Design degrees of freedom were computed with survey::degf() for each subset (Supplementary Table S3):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S3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S1).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b w:val="0"/>
        </w:rPr>
        <w:t>Among adults with diabetes who had objectively graded retinopathy and answered the item, 70.2% (63.8–75.9) reported no prior diabetic-eye diagnosis (Table 2, Figure 2). Among adults with objectively graded AMD who answered the item, 82.2% (77.3–86.2) reported no prior macular-degeneration diagnosis, and even among those with late AMD — the stage most likely to be symptomatic — 41.4% (25.3–59.6) reported no diagnosis (n = 55).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S9).</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(Table 2). Because clinical guidance permits intervals longer than 12 months for some low-risk patients, this measure reflects "not examined within 12 months" rather than "not following an individualised guideline."</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t>Self-reported diagnosis rose steeply with retinopathy severity among adults with diabetes — from 16.6% with no gradable retinopathy, to 21.9% mild, 35.6% moderate, and 84.3% severe-or-proliferative retinopathy — and the corresponding diagnosis gap fell from 78.1% (71.3–83.7) for mild, to 64.4% (48.3–77.8) moderate, to 15.7% (5.0–39.7) severe-or-proliferative retinopathy (Figure 2, panel a; Supplementary Table S2).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S2).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S4). In the AMD model, insurance was not included because complete separation in the uninsured stratum prevented a stable estimate; the descriptive pattern is reported in Supplementary Table S4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S3).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b w:val="0"/>
        </w:rPr>
        <w:t>Images were ungradable for 1,093 participants, who differed from gradable participants: they were older (mean 64.5 vs 59.6 years), more often diabetic (22.1% vs 15.9%) and more likely to have less than a high-school education (23.2% vs 14.4%) (Supplementary Table S5).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S5).</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b w:val="0"/>
        </w:rPr>
        <w:t>In NHIS 2016, weighted self-reported prevalence among adults ≥40 was 2.66% (2.40–2.91) for macular degeneration and 1.27% (1.09–1.46) for diabetic retinopathy; 48.7% (47.7–49.7) had seen an eye doctor and 49.9% (48.9–51.0) had a dilated examination within 12 months (Table S6). Self-reported glaucoma (3.97%) and cataract (21.17%) are reported in Supplementary Table S6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S1; Supplementary Table S6).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b w:val="0"/>
        </w:rPr>
        <w:t>The observed discordance is not a direct estimate of clinically undiagnosed disease. Imaging identifies retinal abnormalities under a standardised protocol, whereas the questionnaire captures whether participants recall being told they had a corresponding condition; the two differ in diagnostic threshold, terminology and susceptibility to recall error. Retinal microvascular abnormalities in adults with diabetes are also not necessarily attributable to diabetes alone. Even so, discordance persisted in advanced categories — a 15.7% gap in severe-or-proliferative retinopathy and 41.4% in late AMD — so it cannot be explained solely by the inclusion of mild imaging abnormalities. The small numbers with severe retinopathy and late AMD warrant caution in interpreting these severity-specific estimates.</w:t>
      </w:r>
    </w:p>
    <w:p w14:paraId="3453FC49">
      <w:pPr>
        <w:spacing w:after="120" w:line="360" w:lineRule="auto"/>
        <w:rPr>
          <w:rFonts w:hint="default" w:ascii="Calibri" w:hAnsi="Calibri" w:cs="Calibri"/>
        </w:rPr>
      </w:pPr>
      <w:r>
        <w:rPr>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the association did not survive Holm correction, and a cross-sectional design cannot tell whether eye-care contact facilitates recognition, whether a known diagnosis prompts examination, or whether both track severity and access. Examination patterns may shape diagnostic awareness, but these data do not test that pathway; prior diagnosis can itself prompt eye-care visits, so the relationship is bidirectional and requires prospective study.</w:t>
      </w:r>
    </w:p>
    <w:p w14:paraId="3299D057">
      <w:pPr>
        <w:spacing w:after="120" w:line="360" w:lineRule="auto"/>
        <w:rPr>
          <w:rFonts w:hint="default" w:ascii="Calibri" w:hAnsi="Calibri" w:cs="Calibri"/>
        </w:rPr>
      </w:pPr>
      <w:r>
        <w:rPr>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S7),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diabetes.⁴,⁵,¹⁴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consent.¹³,¹² Reporting follows the STROBE statement for observational studies.¹⁵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weights.¹³,¹⁶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S8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S8):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S3),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rPr>
        <w:t>Missing-data handling. The primary multivariable analysis was complete-case. Because education and income were substantially missing, we added three sensitivity analyses reported together in Supplementary Table S4: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r>
        <w:rPr>
          <w:rFonts w:hint="default" w:ascii="Calibri" w:hAnsi="Calibri" w:eastAsia="Arial" w:cs="Calibri"/>
          <w:b w:val="0"/>
        </w:rPr>
      </w:r>
      <w:r>
        <w:rPr>
          <w:rFonts w:hint="default" w:ascii="Calibri" w:hAnsi="Calibri" w:eastAsia="Consolas" w:cs="Calibri"/>
          <w:b w:val="0"/>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bCs/>
        </w:rPr>
      </w:r>
    </w:p>
    <w:p w14:paraId="7CACB3DF">
      <w:pPr>
        <w:spacing w:after="120" w:line="360" w:lineRule="auto"/>
        <w:rPr>
          <w:rFonts w:hint="default" w:ascii="Calibri" w:hAnsi="Calibri" w:cs="Calibri"/>
        </w:rPr>
      </w:pPr>
      <w:r>
        <w:rPr>
          <w:rFonts w:hint="default" w:ascii="Calibri" w:hAnsi="Calibri" w:eastAsia="Arial" w:cs="Calibri"/>
          <w:b w:val="0"/>
          <w:bCs/>
        </w:rPr>
        <w:t>Age standardisation.</w:t>
      </w:r>
      <w:r>
        <w:rPr>
          <w:rFonts w:hint="default" w:ascii="Calibri" w:hAnsi="Calibri" w:eastAsia="Arial" w:cs="Calibri"/>
          <w:b w:val="0"/>
        </w:rPr>
        <w:t xml:space="preserve"> 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S6).</w:t>
      </w:r>
    </w:p>
    <w:p w14:paraId="37C82171">
      <w:pPr>
        <w:spacing w:after="120" w:line="360" w:lineRule="auto"/>
        <w:rPr>
          <w:rFonts w:hint="default" w:ascii="Calibri" w:hAnsi="Calibri" w:cs="Calibri"/>
        </w:rPr>
      </w:pPr>
      <w:r>
        <w:rPr>
          <w:rFonts w:hint="default" w:ascii="Calibri" w:hAnsi="Calibri" w:eastAsia="Arial" w:cs="Calibri"/>
          <w:b w:val="0"/>
          <w:bCs/>
        </w:rPr>
        <w:t>Multiple comparisons and analysis status. 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r>
        <w:rPr>
          <w:rFonts w:hint="default" w:ascii="Calibri" w:hAnsi="Calibri" w:eastAsia="Arial" w:cs="Calibri"/>
          <w:b w:val="0"/>
        </w:rPr>
      </w:r>
      <w:r>
        <w:rPr>
          <w:rFonts w:hint="default" w:ascii="Calibri" w:hAnsi="Calibri" w:eastAsia="Arial" w:cs="Calibri"/>
          <w:b w:val="0"/>
          <w:bCs/>
        </w:rPr>
      </w:r>
      <w:r>
        <w:rPr>
          <w:rFonts w:hint="default" w:ascii="Calibri" w:hAnsi="Calibri" w:eastAsia="Arial" w:cs="Calibri"/>
          <w:b w:val="0"/>
        </w:rPr>
      </w:r>
      <w:r>
        <w:rPr>
          <w:rFonts w:hint="default" w:ascii="Calibri" w:hAnsi="Calibri" w:eastAsia="Arial" w:cs="Calibri"/>
          <w:b w:val="0"/>
          <w:i/>
          <w:iCs/>
        </w:rPr>
      </w:r>
      <w:r>
        <w:rPr>
          <w:rFonts w:hint="default" w:ascii="Calibri" w:hAnsi="Calibri" w:eastAsia="Arial" w:cs="Calibri"/>
          <w:b w:val="0"/>
        </w:rPr>
      </w:r>
    </w:p>
    <w:p w14:paraId="49094DEA">
      <w:pPr>
        <w:spacing w:after="120" w:line="360" w:lineRule="auto"/>
        <w:rPr>
          <w:rFonts w:hint="default" w:ascii="Calibri" w:hAnsi="Calibri" w:cs="Calibri"/>
        </w:rPr>
      </w:pPr>
      <w:r>
        <w:rPr>
          <w:rFonts w:hint="default" w:ascii="Calibri" w:hAnsi="Calibri" w:eastAsia="Arial" w:cs="Calibri"/>
          <w:b w:val="0"/>
          <w:bCs/>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b w:val="0"/>
        </w:rPr>
        <w:t>Code availability. The complete analysis archive — dataset construction (build_dataset_v2.py), survey-weighted models (survey_analysis_v7.R), number consolidation (consolidate_v7.py), Nature-style figure generation (build_figures_v13.py) and end-to-end verification (verify_v7.py) — is deposited, version-tagged, in a public repository at https://github.com/teamhuang/eye3-nhanes-diagnosis-care-gap (release v9.0.0: https://github.com/teamhuang/eye3-nhanes-diagnosis-care-gap/releases/tag/v9.0.0). It redistributes no individual-level data; the public NHANES and NHIS source files must be downloaded separately from NCHS.</w:t>
      </w:r>
    </w:p>
    <w:p w14:paraId="252AB2A8">
      <w:pPr>
        <w:spacing w:after="120" w:line="360" w:lineRule="auto"/>
        <w:rPr>
          <w:rFonts w:hint="default" w:ascii="Calibri" w:hAnsi="Calibri" w:cs="Calibri"/>
        </w:rPr>
      </w:pPr>
      <w:r>
        <w:rPr>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1828577A">
      <w:pPr>
        <w:spacing w:after="120" w:line="360" w:lineRule="auto"/>
        <w:rPr>
          <w:rFonts w:hint="default" w:ascii="Calibri" w:hAnsi="Calibri" w:cs="Calibri"/>
        </w:rPr>
      </w:pPr>
      <w:r>
        <w:rPr>
          <w:b/>
        </w:rPr>
        <w:t>Figure S1. Objectively graded versus self-reported AMD among US adults ≥ 40: NHANES retinal-photograph grading (2005–2008, weighted 6.58%) compared with NHIS self-reported diagnosis (2016, survey-weighted crude 2.66% and age-standardised 2.45% to the NHANES 40+ structure). The surveys differ in instrument, year and measurement method and are shown only as a contextual comparison; bars show 95% CIs. The age-standardised CI is conditional on the fixed NHANES-derived standard weights.</w:t>
      </w:r>
    </w:p>
    <w:p w14:paraId="023972F2">
      <w:pPr>
        <w:spacing w:after="120" w:line="360" w:lineRule="auto"/>
        <w:rPr>
          <w:rFonts w:hint="default" w:ascii="Calibri" w:hAnsi="Calibri" w:cs="Calibri"/>
        </w:rPr>
      </w:pPr>
      <w:r>
        <w:rPr>
          <w:b/>
        </w:rPr>
        <w:t>Figure S2. Grading-feasibility sensitivity: naive (gradable-only) versus inverse-probability-weighted whole-population prevalence of any retinopathy and any AMD under a base (age, sex, race) and an extended (+ diabetes, insurance, education) gradability model. IPW shifts each estimate by ≤ 0.6 percentage points, indicating observable gradable-vs-ungradable differences do not materially move the descriptive prevalence (full weight decomposition in Supplementary Table S5).</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40000" cy="1800000"/>
            <wp:docPr id="7" name="Picture 7"/>
            <wp:cNvGraphicFramePr>
              <a:graphicFrameLocks noChangeAspect="1"/>
            </wp:cNvGraphicFramePr>
            <a:graphic>
              <a:graphicData uri="http://schemas.openxmlformats.org/drawingml/2006/picture">
                <pic:pic>
                  <pic:nvPicPr>
                    <pic:cNvPr id="0" name="Fig1_flowchart.png"/>
                    <pic:cNvPicPr/>
                  </pic:nvPicPr>
                  <pic:blipFill>
                    <a:blip r:embed="rId5"/>
                    <a:stretch>
                      <a:fillRect/>
                    </a:stretch>
                  </pic:blipFill>
                  <pic:spPr>
                    <a:xfrm>
                      <a:off x="0" y="0"/>
                      <a:ext cx="234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40000" cy="1800000"/>
            <wp:docPr id="8" name="Picture 8"/>
            <wp:cNvGraphicFramePr>
              <a:graphicFrameLocks noChangeAspect="1"/>
            </wp:cNvGraphicFramePr>
            <a:graphic>
              <a:graphicData uri="http://schemas.openxmlformats.org/drawingml/2006/picture">
                <pic:pic>
                  <pic:nvPicPr>
                    <pic:cNvPr id="0" name="Fig2_gradient_forest.png"/>
                    <pic:cNvPicPr/>
                  </pic:nvPicPr>
                  <pic:blipFill>
                    <a:blip r:embed="rId6"/>
                    <a:stretch>
                      <a:fillRect/>
                    </a:stretch>
                  </pic:blipFill>
                  <pic:spPr>
                    <a:xfrm>
                      <a:off x="0" y="0"/>
                      <a:ext cx="2340000" cy="1800000"/>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9" name="Picture 9"/>
            <wp:cNvGraphicFramePr>
              <a:graphicFrameLocks noChangeAspect="1"/>
            </wp:cNvGraphicFramePr>
            <a:graphic>
              <a:graphicData uri="http://schemas.openxmlformats.org/drawingml/2006/picture">
                <pic:pic>
                  <pic:nvPicPr>
                    <pic:cNvPr id="0" name="Fig3_eyecare_dots.png"/>
                    <pic:cNvPicPr/>
                  </pic:nvPicPr>
                  <pic:blipFill>
                    <a:blip r:embed="rId7"/>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S1.</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Measure</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b/>
        </w:rPr>
        <w:t>Table 2. Diagnosis discordance by disease severity and eye-care utilisation among item responders, US adults aged ≥ 40, NHANES 2005–2008.</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Group</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82.2 (77.3–86.2)</w:t>
            </w:r>
          </w:p>
        </w:tc>
      </w:tr>
      <w:tr>
        <w:tc>
          <w:tcPr>
            <w:tcW w:type="dxa" w:w="3008"/>
          </w:tcPr>
          <w:p>
            <w:r>
              <w:t>Early AMD</w:t>
            </w:r>
          </w:p>
        </w:tc>
        <w:tc>
          <w:tcPr>
            <w:tcW w:type="dxa" w:w="3009"/>
          </w:tcPr>
          <w:p>
            <w:r>
              <w:t>381</w:t>
            </w:r>
          </w:p>
        </w:tc>
        <w:tc>
          <w:tcPr>
            <w:tcW w:type="dxa" w:w="3009"/>
          </w:tcPr>
          <w:p>
            <w:r>
              <w:t>87.9 (84.4–90.6)</w:t>
            </w:r>
          </w:p>
        </w:tc>
      </w:tr>
      <w:tr>
        <w:tc>
          <w:tcPr>
            <w:tcW w:type="dxa" w:w="3008"/>
          </w:tcPr>
          <w:p>
            <w:r>
              <w:t>Late AMD</w:t>
            </w:r>
          </w:p>
        </w:tc>
        <w:tc>
          <w:tcPr>
            <w:tcW w:type="dxa" w:w="3009"/>
          </w:tcPr>
          <w:p>
            <w:r>
              <w:t>55</w:t>
            </w:r>
          </w:p>
        </w:tc>
        <w:tc>
          <w:tcPr>
            <w:tcW w:type="dxa" w:w="3009"/>
          </w:tcPr>
          <w:p>
            <w:r>
              <w:t>41.4 (25.3–59.6)</w:t>
            </w:r>
          </w:p>
        </w:tc>
      </w:tr>
      <w:tr>
        <w:tc>
          <w:tcPr>
            <w:tcW w:type="dxa" w:w="3008"/>
          </w:tcPr>
          <w:p>
            <w:r>
              <w:t>Eye-care utilisation (% not examined within 12 months)</w:t>
            </w:r>
          </w:p>
        </w:tc>
        <w:tc>
          <w:tcPr>
            <w:tcW w:type="dxa" w:w="3009"/>
          </w:tcPr>
          <w:p>
            <w:r/>
          </w:p>
        </w:tc>
        <w:tc>
          <w:tcPr>
            <w:tcW w:type="dxa" w:w="3009"/>
          </w:tcPr>
          <w:p>
            <w:r/>
          </w:p>
        </w:tc>
      </w:tr>
      <w:tr>
        <w:tc>
          <w:tcPr>
            <w:tcW w:type="dxa" w:w="3008"/>
          </w:tcPr>
          <w:p>
            <w:r>
              <w:t>No dilated exam ≤ 12 mo, all adults with diabetes</w:t>
            </w:r>
          </w:p>
        </w:tc>
        <w:tc>
          <w:tcPr>
            <w:tcW w:type="dxa" w:w="3009"/>
          </w:tcPr>
          <w:p>
            <w:r>
              <w:t>1,119</w:t>
            </w:r>
          </w:p>
        </w:tc>
        <w:tc>
          <w:tcPr>
            <w:tcW w:type="dxa" w:w="3009"/>
          </w:tcPr>
          <w:p>
            <w:r>
              <w:t>35.8 (31.3–40.5)</w:t>
            </w:r>
          </w:p>
        </w:tc>
      </w:tr>
      <w:tr>
        <w:tc>
          <w:tcPr>
            <w:tcW w:type="dxa" w:w="3008"/>
          </w:tcPr>
          <w:p>
            <w:r>
              <w:t>No dilated exam ≤ 12 mo, diabetes + retinopathy</w:t>
            </w:r>
          </w:p>
        </w:tc>
        <w:tc>
          <w:tcPr>
            <w:tcW w:type="dxa" w:w="3009"/>
          </w:tcPr>
          <w:p>
            <w:r>
              <w:t>313</w:t>
            </w:r>
          </w:p>
        </w:tc>
        <w:tc>
          <w:tcPr>
            <w:tcW w:type="dxa" w:w="3009"/>
          </w:tcPr>
          <w:p>
            <w: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gridCol w:w="1701"/>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Term</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DR core (n = 187)</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r>
              <w:t>AMD core (n = 226)</w:t>
            </w:r>
          </w:p>
        </w:tc>
        <w:tc>
          <w:tcPr>
            <w:tcW w:type="dxa" w:w="1701"/>
          </w:tcPr>
          <w:p>
            <w: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0.93 (0.89–0.96) †</w:t>
            </w:r>
          </w:p>
        </w:tc>
        <w:tc>
          <w:tcPr>
            <w:tcW w:type="dxa" w:w="1701"/>
          </w:tcPr>
          <w:p>
            <w: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0.99 (0.32–3.08)</w:t>
            </w:r>
          </w:p>
        </w:tc>
        <w:tc>
          <w:tcPr>
            <w:tcW w:type="dxa" w:w="1701"/>
          </w:tcPr>
          <w:p>
            <w: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0.82 (0.31–2.21)</w:t>
            </w:r>
          </w:p>
        </w:tc>
        <w:tc>
          <w:tcPr>
            <w:tcW w:type="dxa" w:w="1701"/>
          </w:tcPr>
          <w:p>
            <w: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1.56 (0.29–8.52)</w:t>
            </w:r>
          </w:p>
        </w:tc>
        <w:tc>
          <w:tcPr>
            <w:tcW w:type="dxa" w:w="1701"/>
          </w:tcPr>
          <w:p>
            <w: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0.88 (0.60–1.31)</w:t>
            </w:r>
          </w:p>
        </w:tc>
        <w:tc>
          <w:tcPr>
            <w:tcW w:type="dxa" w:w="1701"/>
          </w:tcPr>
          <w:p>
            <w: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r>
              <w:t>—</w:t>
            </w:r>
          </w:p>
        </w:tc>
        <w:tc>
          <w:tcPr>
            <w:tcW w:type="dxa" w:w="1701"/>
          </w:tcPr>
          <w:p>
            <w: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S3, where Holm-adjusted P values are tabulated († marks the two terms whose Holm-adjusted P &lt; 0.05: AMD age and DR severe/proliferative). Income is reported once per model and must not be conflated across columns; missing-data sensitivity is in Supplementary Table S4.</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Ayd1LdAgAAJA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MDJ3Ut0CAAAkBgAADgAAAAAAAAABACAAAAAfAQAAZHJzL2Uyb0RvYy54bWxQSwUG&#10;AAAAAAYABgBZAQAAbgY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qFormat/>
    <w:pPr>
      <w:widowControl w:val="0"/>
      <w:jc w:val="both"/>
    </w:pPr>
    <w:rPr>
      <w:rFonts w:ascii="Arial" w:hAnsi="Arial" w:eastAsia="Arial" w:cs="Arial"/>
      <w:sz w:val="24"/>
      <w:szCs w:val="24"/>
    </w:rPr>
  </w:style>
  <w:style w:type="paragraph" w:styleId="2">
    <w:name w:val="heading 1"/>
    <w:next w:val="1"/>
    <w:uiPriority w:val="0"/>
    <w:qFormat/>
    <w:pPr>
      <w:spacing w:before="240" w:after="240"/>
      <w:outlineLvl w:val="0"/>
    </w:pPr>
    <w:rPr>
      <w:rFonts w:ascii="Arial" w:hAnsi="Arial" w:eastAsia="Arial" w:cs="Arial"/>
      <w:b/>
      <w:bCs/>
      <w:color w:val="000000"/>
      <w:sz w:val="32"/>
      <w:szCs w:val="32"/>
    </w:rPr>
  </w:style>
  <w:style w:type="paragraph" w:styleId="3">
    <w:name w:val="heading 2"/>
    <w:next w:val="1"/>
    <w:uiPriority w:val="0"/>
    <w:qFormat/>
    <w:pPr>
      <w:spacing w:before="180" w:after="180"/>
      <w:outlineLvl w:val="1"/>
    </w:pPr>
    <w:rPr>
      <w:rFonts w:ascii="Arial" w:hAnsi="Arial" w:eastAsia="Arial" w:cs="Arial"/>
      <w:b/>
      <w:bCs/>
      <w:color w:val="000000"/>
      <w:sz w:val="28"/>
      <w:szCs w:val="28"/>
    </w:rPr>
  </w:style>
  <w:style w:type="paragraph" w:styleId="4">
    <w:name w:val="heading 3"/>
    <w:next w:val="1"/>
    <w:uiPriority w:val="0"/>
    <w:qFormat/>
    <w:pPr>
      <w:spacing w:before="120" w:after="120"/>
      <w:outlineLvl w:val="2"/>
    </w:pPr>
    <w:rPr>
      <w:rFonts w:ascii="Arial" w:hAnsi="Arial" w:eastAsia="Arial" w:cs="Arial"/>
      <w:b/>
      <w:bCs/>
      <w:color w:val="000000"/>
      <w:sz w:val="26"/>
      <w:szCs w:val="26"/>
    </w:rPr>
  </w:style>
  <w:style w:type="paragraph" w:styleId="5">
    <w:name w:val="heading 4"/>
    <w:next w:val="1"/>
    <w:uiPriority w:val="0"/>
    <w:qFormat/>
    <w:rPr>
      <w:rFonts w:ascii="Arial" w:hAnsi="Arial" w:eastAsia="Arial" w:cs="Arial"/>
      <w:i/>
      <w:iCs/>
      <w:color w:val="2E74B5"/>
      <w:sz w:val="24"/>
      <w:szCs w:val="24"/>
    </w:rPr>
  </w:style>
  <w:style w:type="paragraph" w:styleId="6">
    <w:name w:val="heading 5"/>
    <w:next w:val="1"/>
    <w:uiPriority w:val="0"/>
    <w:qFormat/>
    <w:rPr>
      <w:rFonts w:ascii="Arial" w:hAnsi="Arial" w:eastAsia="Arial" w:cs="Arial"/>
      <w:color w:val="2E74B5"/>
      <w:sz w:val="24"/>
      <w:szCs w:val="24"/>
    </w:rPr>
  </w:style>
  <w:style w:type="paragraph" w:styleId="7">
    <w:name w:val="heading 6"/>
    <w:next w:val="1"/>
    <w:uiPriority w:val="0"/>
    <w:qFormat/>
    <w:rPr>
      <w:rFonts w:ascii="Arial" w:hAnsi="Arial" w:eastAsia="Arial" w:cs="Arial"/>
      <w:color w:val="1F4D78"/>
      <w:sz w:val="24"/>
      <w:szCs w:val="24"/>
    </w:rPr>
  </w:style>
  <w:style w:type="character" w:default="1" w:styleId="14">
    <w:name w:val="Default Paragraph Font"/>
    <w:uiPriority w:val="0"/>
    <w:semiHidden/>
  </w:style>
  <w:style w:type="table" w:default="1" w:styleId="13">
    <w:name w:val="Normal Table"/>
    <w:uiPriority w:val="0"/>
    <w:semiHidden/>
    <w:tblPr>
      <w:tblCellMar>
        <w:top w:w="0" w:type="dxa"/>
        <w:left w:w="108" w:type="dxa"/>
        <w:bottom w:w="0" w:type="dxa"/>
        <w:right w:w="108" w:type="dxa"/>
      </w:tblCellMar>
    </w:tblPr>
  </w:style>
  <w:style w:type="paragraph" w:styleId="8">
    <w:name w:val="endnote text"/>
    <w:link w:val="20"/>
    <w:uiPriority w:val="99"/>
    <w:semiHidden/>
    <w:unhideWhenUsed/>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uiPriority w:val="99"/>
    <w:semiHidden/>
    <w:unhideWhenUsed/>
    <w:pPr>
      <w:spacing w:after="0" w:line="240" w:lineRule="auto"/>
    </w:pPr>
    <w:rPr>
      <w:rFonts w:ascii="Arial" w:hAnsi="Arial" w:eastAsia="Arial" w:cs="Arial"/>
      <w:sz w:val="20"/>
      <w:szCs w:val="20"/>
    </w:rPr>
  </w:style>
  <w:style w:type="paragraph" w:styleId="12">
    <w:name w:val="Title"/>
    <w:uiPriority w:val="0"/>
    <w:qFormat/>
    <w:rPr>
      <w:rFonts w:ascii="Arial" w:hAnsi="Arial" w:eastAsia="Arial" w:cs="Arial"/>
      <w:sz w:val="56"/>
      <w:szCs w:val="56"/>
    </w:rPr>
  </w:style>
  <w:style w:type="character" w:styleId="15">
    <w:name w:val="endnote reference"/>
    <w:uiPriority w:val="99"/>
    <w:semiHidden/>
    <w:unhideWhenUsed/>
    <w:qFormat/>
    <w:rPr>
      <w:vertAlign w:val="superscript"/>
    </w:rPr>
  </w:style>
  <w:style w:type="character" w:styleId="16">
    <w:name w:val="Hyperlink"/>
    <w:uiPriority w:val="99"/>
    <w:unhideWhenUsed/>
    <w:rPr>
      <w:color w:val="0563C1"/>
      <w:u w:val="single"/>
    </w:rPr>
  </w:style>
  <w:style w:type="character" w:styleId="17">
    <w:name w:val="footnote reference"/>
    <w:uiPriority w:val="99"/>
    <w:semiHidden/>
    <w:unhideWhenUsed/>
    <w:qFormat/>
    <w:rPr>
      <w:vertAlign w:val="superscript"/>
    </w:rPr>
  </w:style>
  <w:style w:type="paragraph" w:styleId="18">
    <w:name w:val="List Paragraph"/>
    <w:uiPriority w:val="0"/>
    <w:qFormat/>
    <w:rPr>
      <w:rFonts w:ascii="Arial" w:hAnsi="Arial" w:eastAsia="Arial" w:cs="Arial"/>
      <w:sz w:val="24"/>
      <w:szCs w:val="24"/>
    </w:rPr>
  </w:style>
  <w:style w:type="character" w:customStyle="1" w:styleId="19">
    <w:name w:val="Footnote Text Char"/>
    <w:link w:val="11"/>
    <w:uiPriority w:val="99"/>
    <w:semiHidden/>
    <w:unhideWhenUsed/>
    <w:rPr>
      <w:sz w:val="20"/>
      <w:szCs w:val="20"/>
    </w:rPr>
  </w:style>
  <w:style w:type="character" w:customStyle="1" w:styleId="20">
    <w:name w:val="Endnote Text Char"/>
    <w:link w:val="8"/>
    <w:uiPriority w:val="99"/>
    <w:semiHidden/>
    <w:unhideWhenUsed/>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26</Pages>
  <Words>7717</Words>
  <Characters>49266</Characters>
  <TotalTime>3</TotalTime>
  <ScaleCrop>false</ScaleCrop>
  <LinksUpToDate>false</LinksUpToDate>
  <CharactersWithSpaces>56766</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2026-10-30T01:39:03Z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