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/>
        </w:rPr>
        <w:t xml:space="preserve">Response to Reviewer — Round 13 (figure/table restructure)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Reviewer comment file: </w:t>
      </w:r>
      <w:r>
        <w:rPr>
          <w:rFonts w:ascii="Arial" w:eastAsia="Microsoft YaHei"/>
          <w:i/>
          <w:iCs/>
        </w:rPr>
        <w:t xml:space="preserve">Scientific Reports 手稿图表重构方案</w:t>
      </w:r>
      <w:r>
        <w:rPr>
          <w:rFonts w:ascii="Arial" w:eastAsia="Microsoft YaHei"/>
        </w:rPr>
        <w:t xml:space="preserve"> (3-figure / 3-table, research-question-centred reorganisation). We adopted the full restructure. Every value below is unchanged and traceable to </w:t>
      </w:r>
      <w:r>
        <w:rPr>
          <w:rFonts w:ascii="Consolas" w:cs="Consolas" w:eastAsia="Consolas" w:hAnsi="Consolas"/>
        </w:rPr>
        <w:t xml:space="preserve">results/tables/numbers_v7.csv</w:t>
      </w:r>
      <w:r>
        <w:rPr>
          <w:rFonts w:ascii="Arial" w:eastAsia="Microsoft YaHei"/>
        </w:rPr>
        <w:t xml:space="preserve"> (sha256 </w:t>
      </w:r>
      <w:r>
        <w:rPr>
          <w:rFonts w:ascii="Consolas" w:cs="Consolas" w:eastAsia="Consolas" w:hAnsi="Consolas"/>
        </w:rPr>
        <w:t xml:space="preserve">f4c5685e24a42826</w:t>
      </w:r>
      <w:r>
        <w:rPr>
          <w:rFonts w:ascii="Arial" w:eastAsia="Microsoft YaHei"/>
        </w:rPr>
        <w:t xml:space="preserve">); the reorganisation moved and re-drew existing estimates, it did not recompute or alter any number. All checks pass: </w:t>
      </w:r>
      <w:r>
        <w:rPr>
          <w:rFonts w:ascii="Consolas" w:cs="Consolas" w:eastAsia="Consolas" w:hAnsi="Consolas"/>
        </w:rPr>
        <w:t xml:space="preserve">verify_v7.py</w:t>
      </w:r>
      <w:r>
        <w:rPr>
          <w:rFonts w:ascii="Arial" w:eastAsia="Microsoft YaHei"/>
        </w:rPr>
        <w:t xml:space="preserve"> 239/239, </w:t>
      </w:r>
      <w:r>
        <w:rPr>
          <w:rFonts w:ascii="Consolas" w:cs="Consolas" w:eastAsia="Consolas" w:hAnsi="Consolas"/>
        </w:rPr>
        <w:t xml:space="preserve">verify_docx_v8.py</w:t>
      </w:r>
      <w:r>
        <w:rPr>
          <w:rFonts w:ascii="Arial" w:eastAsia="Microsoft YaHei"/>
        </w:rPr>
        <w:t xml:space="preserve"> 47/47, </w:t>
      </w:r>
      <w:r>
        <w:rPr>
          <w:rFonts w:ascii="Consolas" w:cs="Consolas" w:eastAsia="Consolas" w:hAnsi="Consolas"/>
        </w:rPr>
        <w:t xml:space="preserve">verify_v10.py</w:t>
      </w:r>
      <w:r>
        <w:rPr>
          <w:rFonts w:ascii="Arial" w:eastAsia="Microsoft YaHei"/>
        </w:rPr>
        <w:t xml:space="preserve"> 12/12.</w:t>
      </w:r>
    </w:p>
    <w:p>
      <w:pPr>
        <w:pStyle w:val="Heading2"/>
      </w:pPr>
      <w:r>
        <w:rPr>
          <w:rFonts w:ascii="Arial" w:eastAsia="Microsoft YaHei"/>
        </w:rPr>
        <w:t xml:space="preserve">一 / New main layout: 3 figures + 3 tables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Adopted. The main text now carries </w:t>
      </w:r>
      <w:r>
        <w:rPr>
          <w:rFonts w:ascii="Arial" w:eastAsia="Microsoft YaHei"/>
          <w:b/>
          <w:bCs/>
        </w:rPr>
        <w:t xml:space="preserve">Figure 1 (study flow), Figure 2 (diagnosis discordance + severity gradient), Figure 3 (eye-care association)</w:t>
      </w:r>
      <w:r>
        <w:rPr>
          <w:rFonts w:ascii="Arial" w:eastAsia="Microsoft YaHei"/>
        </w:rPr>
        <w:t xml:space="preserve"> and </w:t>
      </w:r>
      <w:r>
        <w:rPr>
          <w:rFonts w:ascii="Arial" w:eastAsia="Microsoft YaHei"/>
          <w:b/>
          <w:bCs/>
        </w:rPr>
        <w:t xml:space="preserve">Table 1 (prevalence), Table 2 (core descriptive), Table 3 (three regression models)</w:t>
      </w:r>
      <w:r>
        <w:rPr>
          <w:rFonts w:ascii="Arial" w:eastAsia="Microsoft YaHei"/>
        </w:rPr>
        <w:t xml:space="preserve">. The NHIS cross-survey material is now a short Results paragraph plus supplementary Figure S1 / Table S6.</w:t>
      </w:r>
    </w:p>
    <w:p>
      <w:pPr>
        <w:pStyle w:val="Heading2"/>
      </w:pPr>
      <w:r>
        <w:rPr>
          <w:rFonts w:ascii="Arial" w:eastAsia="Microsoft YaHei"/>
        </w:rPr>
        <w:t xml:space="preserve">二 / Three main figures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Figure 1 — study flow (promoted from old Figure S1).</w:t>
      </w:r>
      <w:r>
        <w:rPr>
          <w:rFonts w:ascii="Arial" w:eastAsia="Microsoft YaHei"/>
        </w:rPr>
        <w:t xml:space="preserve"> Now the main Figure 1. The two branches show gradable images (DR 5,704; AMD 5,604), graded disease (319 diabetic-with-retinopathy; 441 AMD), responders-only denominators (313; 436) and complete-case models (187; 226). Per your request the boxes annotate the self-report non-response (</w:t>
      </w:r>
      <w:r>
        <w:rPr>
          <w:rFonts w:ascii="Arial" w:eastAsia="Microsoft YaHei"/>
          <w:b/>
          <w:bCs/>
        </w:rPr>
        <w:t xml:space="preserve">−6 DR, −5 AMD</w:t>
      </w:r>
      <w:r>
        <w:rPr>
          <w:rFonts w:ascii="Arial" w:eastAsia="Microsoft YaHei"/>
        </w:rPr>
        <w:t xml:space="preserve">) and the legend states that the two streams share one source cohort and are </w:t>
      </w:r>
      <w:r>
        <w:rPr>
          <w:rFonts w:ascii="Arial" w:eastAsia="Microsoft YaHei"/>
          <w:b/>
          <w:bCs/>
        </w:rPr>
        <w:t xml:space="preserve">not mutually exclusive</w:t>
      </w:r>
      <w:r>
        <w:rPr>
          <w:rFonts w:ascii="Arial" w:eastAsia="Microsoft YaHei"/>
        </w:rPr>
        <w:t xml:space="preserve">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Figure 2 — diagnosis discordance + severity gradient (old Figures 1 and 2 merged).</w:t>
      </w:r>
      <w:r>
        <w:rPr>
          <w:rFonts w:ascii="Arial" w:eastAsia="Microsoft YaHei"/>
        </w:rPr>
        <w:t xml:space="preserve"> Redrawn as a two-panel </w:t>
      </w:r>
      <w:r>
        <w:rPr>
          <w:rFonts w:ascii="Arial" w:eastAsia="Microsoft YaHei"/>
          <w:b/>
          <w:bCs/>
        </w:rPr>
        <w:t xml:space="preserve">dot-and-whisker (forest)</w:t>
      </w:r>
      <w:r>
        <w:rPr>
          <w:rFonts w:ascii="Arial" w:eastAsia="Microsoft YaHei"/>
        </w:rPr>
        <w:t xml:space="preserve"> plot, not bars, so the wide intervals on the small severe-DR and late-AMD strata are visible. Panel a (DR): Any retinopathy 70.2% (63.8–75.9, n=313), mild 78.1% (71.3–83.7, n=197), moderate 64.4% (48.3–77.8, n=85), severe-or-proliferative 15.7% (5.0–39.7, n=31). Panel b (AMD): Any AMD 82.2% (77.3–86.2, n=436), early 87.9% (84.4–90.6, n=381), late 41.4% (25.3–59.6, n=55). Per your instruction the *</w:t>
      </w:r>
      <w:r>
        <w:rPr>
          <w:rFonts w:ascii="Arial" w:eastAsia="Microsoft YaHei"/>
          <w:i/>
          <w:iCs/>
        </w:rPr>
        <w:t xml:space="preserve">moderate-or-worse estimate (53.4%, 38.7–67.5, n=116) is drawn as a separate open-marker "Mod-or-worse</w:t>
      </w:r>
      <w:r>
        <w:rPr>
          <w:rFonts w:ascii="Arial" w:eastAsia="Microsoft YaHei"/>
        </w:rPr>
        <w:t xml:space="preserve">" summary row, not a fourth mutually exclusive tier**, and the legend says so. </w:t>
      </w:r>
      <w:r>
        <w:rPr>
          <w:rFonts w:ascii="Consolas" w:cs="Consolas" w:eastAsia="Consolas" w:hAnsi="Consolas"/>
        </w:rPr>
        <w:t xml:space="preserve">[NEW VERIFICATION]</w:t>
      </w:r>
      <w:r>
        <w:rPr>
          <w:rFonts w:ascii="Arial" w:eastAsia="Microsoft YaHei"/>
        </w:rPr>
        <w:t xml:space="preserve"> mild+moderate+severe n = 197+85+31 = 313.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Figure 3 — eye-care association (promoted from old Figure S2).</w:t>
      </w:r>
      <w:r>
        <w:rPr>
          <w:rFonts w:ascii="Arial" w:eastAsia="Microsoft YaHei"/>
        </w:rPr>
        <w:t xml:space="preserve"> Two model-adjusted (g-computation) predicted probabilities drawn as </w:t>
      </w:r>
      <w:r>
        <w:rPr>
          <w:rFonts w:ascii="Arial" w:eastAsia="Microsoft YaHei"/>
          <w:b/>
          <w:bCs/>
        </w:rPr>
        <w:t xml:space="preserve">points only — 81.8% (no recent exam) vs 62.4% (recent exam) — with no error bars</w:t>
      </w:r>
      <w:r>
        <w:rPr>
          <w:rFonts w:ascii="Arial" w:eastAsia="Microsoft YaHei"/>
        </w:rPr>
        <w:t xml:space="preserve">, because </w:t>
      </w:r>
      <w:r>
        <w:rPr>
          <w:rFonts w:ascii="Consolas" w:cs="Consolas" w:eastAsia="Consolas" w:hAnsi="Consolas"/>
        </w:rPr>
        <w:t xml:space="preserve">numbers_v7.csv</w:t>
      </w:r>
      <w:r>
        <w:rPr>
          <w:rFonts w:ascii="Arial" w:eastAsia="Microsoft YaHei"/>
        </w:rPr>
        <w:t xml:space="preserve"> flags these marginal predictions as "no reliable CI" (we did not fabricate whiskers). The legend reports the adjusted association (aOR 0.30, 0.10–0.92), the uncorrected P = 0.038 and the Holm-adjusted P = 0.27, n = 187, and states it is an exploratory cross-sectional association.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Old Figure 3 (NHIS) demoted</w:t>
      </w:r>
      <w:r>
        <w:rPr>
          <w:rFonts w:ascii="Arial" w:eastAsia="Microsoft YaHei"/>
        </w:rPr>
        <w:t xml:space="preserve"> to Supplementary Figure S1; the NHIS comparison remains as a Results paragraph and in Supplementary Table S6.</w:t>
      </w:r>
    </w:p>
    <w:p>
      <w:pPr>
        <w:pStyle w:val="Heading2"/>
      </w:pPr>
      <w:r>
        <w:rPr>
          <w:rFonts w:ascii="Arial" w:eastAsia="Microsoft YaHei"/>
        </w:rPr>
        <w:t xml:space="preserve">三 / Three main tables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Table 1</w:t>
      </w:r>
      <w:r>
        <w:rPr>
          <w:rFonts w:ascii="Arial" w:eastAsia="Microsoft YaHei"/>
        </w:rPr>
        <w:t xml:space="preserve"> keeps the objectively-graded prevalence (9.75%, 1.35%, 33.0% in diabetes, 6.58%, 0.80%) plus a single "population context" row (diagnosed diabetes 12.05%). Glaucoma (5.06%), cataract-surgery history (11.07%) and overall insurance (87.4%) moved to Supplementary Table S1(d).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Table 2</w:t>
      </w:r>
      <w:r>
        <w:rPr>
          <w:rFonts w:ascii="Arial" w:eastAsia="Microsoft YaHei"/>
        </w:rPr>
        <w:t xml:space="preserve"> is the core descriptive table: diagnosis discordance by severity/stage (the eight rows above) plus an </w:t>
      </w:r>
      <w:r>
        <w:rPr>
          <w:rFonts w:ascii="Arial" w:eastAsia="Microsoft YaHei"/>
          <w:b/>
          <w:bCs/>
        </w:rPr>
        <w:t xml:space="preserve">Eye-care utilisation</w:t>
      </w:r>
      <w:r>
        <w:rPr>
          <w:rFonts w:ascii="Arial" w:eastAsia="Microsoft YaHei"/>
        </w:rPr>
        <w:t xml:space="preserve"> block (35.8%, n=1,119 all diabetes; 32.4%, n=313 diabetes + retinopathy).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Table 3</w:t>
      </w:r>
      <w:r>
        <w:rPr>
          <w:rFonts w:ascii="Arial" w:eastAsia="Microsoft YaHei"/>
        </w:rPr>
        <w:t xml:space="preserve"> is now three explicit model columns — </w:t>
      </w:r>
      <w:r>
        <w:rPr>
          <w:rFonts w:ascii="Arial" w:eastAsia="Microsoft YaHei"/>
          <w:b/>
          <w:bCs/>
        </w:rPr>
        <w:t xml:space="preserve">DR core (n=187), AMD core (n=226), DR eye-care (n=187)</w:t>
      </w:r>
      <w:r>
        <w:rPr>
          <w:rFonts w:ascii="Arial" w:eastAsia="Microsoft YaHei"/>
        </w:rPr>
        <w:t xml:space="preserve"> — each with its adjustment set named in the header and a note that the income coefficient is not comparable across columns. Holm-adjusted P values and the full coefficient/df audit are in Supplementary Table S3; the two terms surviving correction (AMD age, DR severe/proliferative) are flagged.</w:t>
      </w:r>
    </w:p>
    <w:p>
      <w:pPr>
        <w:pStyle w:val="Heading2"/>
      </w:pPr>
      <w:r>
        <w:rPr>
          <w:rFonts w:ascii="Arial" w:eastAsia="Microsoft YaHei"/>
        </w:rPr>
        <w:t xml:space="preserve">四 / Supplementary renumbering (thematic S1–S9, no nested labels)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Adopted. The supplement is now numbered sequentially by topic with lettered panels instead of "S2b/S2c/S7c": S1 screening/missingness/denominators (+ NHANES descriptives), S2 discordance by severity/stage/age, S3 regression coefficients + design-df audit (absorbing old S2b/S2c/S5), S4 missing-data sensitivity, S5 grading feasibility/IPW, S6 NHIS benchmark/standardisation/denominator trace (absorbing old S7 series and the old main Table 5), S7 AMD age-vs-stage, S8 variable provenance, S9 extreme-scenario non-response bounds. Figures S1 (NHIS) and S2 (IPW) are the only supplement figures. All main-text, supplement and STROBE cross-references were re-pointed by content, not just renumbered; </w:t>
      </w:r>
      <w:r>
        <w:rPr>
          <w:rFonts w:ascii="Consolas" w:cs="Consolas" w:eastAsia="Consolas" w:hAnsi="Consolas"/>
        </w:rPr>
        <w:t xml:space="preserve">verify_v7.py</w:t>
      </w:r>
      <w:r>
        <w:rPr>
          <w:rFonts w:ascii="Arial" w:eastAsia="Microsoft YaHei"/>
        </w:rPr>
        <w:t xml:space="preserve"> confirms every supplementary identifier S1–S9 is cited with no gaps.</w:t>
      </w:r>
    </w:p>
    <w:p>
      <w:pPr>
        <w:pStyle w:val="Heading2"/>
      </w:pPr>
      <w:r>
        <w:rPr>
          <w:rFonts w:ascii="Arial" w:eastAsia="Microsoft YaHei"/>
        </w:rPr>
        <w:t xml:space="preserve">五 / Unified visual style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All five figures are regenerated by </w:t>
      </w:r>
      <w:r>
        <w:rPr>
          <w:rFonts w:ascii="Consolas" w:cs="Consolas" w:eastAsia="Consolas" w:hAnsi="Consolas"/>
        </w:rPr>
        <w:t xml:space="preserve">code/build_figures_v13.py</w:t>
      </w:r>
      <w:r>
        <w:rPr>
          <w:rFonts w:ascii="Arial" w:eastAsia="Microsoft YaHei"/>
        </w:rPr>
        <w:t xml:space="preserve"> directly from the result CSVs (no manual entry): Arial, Okabe-Ito colour-blind-safe palette, white background, no 3D/shadow/gradient, thin capped CI whiskers, 600-dpi PNG </w:t>
      </w:r>
      <w:r>
        <w:rPr>
          <w:rFonts w:ascii="Arial" w:eastAsia="Microsoft YaHei"/>
          <w:b/>
          <w:bCs/>
        </w:rPr>
        <w:t xml:space="preserve">and</w:t>
      </w:r>
      <w:r>
        <w:rPr>
          <w:rFonts w:ascii="Arial" w:eastAsia="Microsoft YaHei"/>
        </w:rPr>
        <w:t xml:space="preserve"> vector PDF, fixed height 5 cm with 5 cm / 6.5 cm widths, and no note text on the plot (titles/legends live in the Word captions). </w:t>
      </w:r>
      <w:r>
        <w:rPr>
          <w:rFonts w:ascii="Consolas" w:cs="Consolas" w:eastAsia="Consolas" w:hAnsi="Consolas"/>
        </w:rPr>
        <w:t xml:space="preserve">[NEW VERIFICATION]</w:t>
      </w:r>
      <w:r>
        <w:rPr>
          <w:rFonts w:ascii="Arial" w:eastAsia="Microsoft YaHei"/>
        </w:rPr>
        <w:t xml:space="preserve"> every figure value was re-checked against </w:t>
      </w:r>
      <w:r>
        <w:rPr>
          <w:rFonts w:ascii="Consolas" w:cs="Consolas" w:eastAsia="Consolas" w:hAnsi="Consolas"/>
        </w:rPr>
        <w:t xml:space="preserve">numbers_v7.csv</w:t>
      </w:r>
      <w:r>
        <w:rPr>
          <w:rFonts w:ascii="Arial" w:eastAsia="Microsoft YaHei"/>
        </w:rPr>
        <w:t xml:space="preserve">.</w:t>
      </w:r>
    </w:p>
    <w:p>
      <w:pPr>
        <w:pStyle w:val="Heading2"/>
      </w:pPr>
      <w:r>
        <w:rPr>
          <w:rFonts w:ascii="Arial" w:eastAsia="Microsoft YaHei"/>
        </w:rPr>
        <w:t xml:space="preserve">六 / Residual items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The single remaining author-only item is unchanged: a citable </w:t>
      </w:r>
      <w:r>
        <w:rPr>
          <w:rFonts w:ascii="Arial" w:eastAsia="Microsoft YaHei"/>
          <w:b/>
          <w:bCs/>
        </w:rPr>
        <w:t xml:space="preserve">Zenodo version DOI</w:t>
      </w:r>
      <w:r>
        <w:rPr>
          <w:rFonts w:ascii="Arial" w:eastAsia="Microsoft YaHei"/>
        </w:rPr>
        <w:t xml:space="preserve"> still requires the corresponding author's account. The Code-availability statement cites the version-tagged GitHub release (now </w:t>
      </w:r>
      <w:r>
        <w:rPr>
          <w:rFonts w:ascii="Arial" w:eastAsia="Microsoft YaHei"/>
          <w:b/>
          <w:bCs/>
        </w:rPr>
        <w:t xml:space="preserve">v9.0.0</w:t>
      </w:r>
      <w:r>
        <w:rPr>
          <w:rFonts w:ascii="Arial" w:eastAsia="Microsoft YaHei"/>
        </w:rPr>
        <w:t xml:space="preserve">) and deliberately mints no unbacked DOI.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2026-10-31T08:07:26.933Z</dcterms:created>
  <dcterms:modified xsi:type="dcterms:W3CDTF">2026-10-31T08:07:26.935Z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