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STROBE Checklist — Cross-Sectional Studies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Manuscript:</w:t>
      </w:r>
      <w:r>
        <w:rPr>
          <w:rFonts w:ascii="Arial" w:eastAsia="Microsoft YaHei"/>
        </w:rPr>
        <w:t xml:space="preserve"> </w:t>
      </w:r>
      <w:r>
        <w:rPr>
          <w:rFonts w:ascii="Arial" w:eastAsia="Microsoft YaHei"/>
          <w:i/>
          <w:iCs/>
        </w:rPr>
        <w:t xml:space="preserve">Objectively graded retinal disease, self-reported diagnosis, and eye-care utilisation in US adults (NHANES 2005–2008).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Checklist version:</w:t>
      </w:r>
      <w:r>
        <w:rPr>
          <w:rFonts w:ascii="Arial" w:eastAsia="Microsoft YaHei"/>
        </w:rPr>
        <w:t xml:space="preserve"> This table uses the </w:t>
      </w:r>
      <w:r>
        <w:rPr>
          <w:rFonts w:ascii="Arial" w:eastAsia="Microsoft YaHei"/>
          <w:b/>
          <w:bCs/>
        </w:rPr>
        <w:t xml:space="preserve">official STROBE item numbering (items 1–22 with sub-items a–e)</w:t>
      </w:r>
      <w:r>
        <w:rPr>
          <w:rFonts w:ascii="Arial" w:eastAsia="Microsoft YaHei"/>
        </w:rPr>
        <w:t xml:space="preserve"> from the STROBE Statement for observational studies (von Elm E, et al. </w:t>
      </w:r>
      <w:r>
        <w:rPr>
          <w:rFonts w:ascii="Arial" w:eastAsia="Microsoft YaHei"/>
          <w:i/>
          <w:iCs/>
        </w:rPr>
        <w:t xml:space="preserve">Strength in Numbers: Improving the Reporting of Observational Studies in Epidemiology — The STROBE Statement</w:t>
      </w:r>
      <w:r>
        <w:rPr>
          <w:rFonts w:ascii="Arial" w:eastAsia="Microsoft YaHei"/>
        </w:rPr>
        <w:t xml:space="preserve">. PLoS Med 2007;4(10):e296; the design-specific STROBE </w:t>
      </w:r>
      <w:r>
        <w:rPr>
          <w:rFonts w:ascii="Arial" w:eastAsia="Microsoft YaHei"/>
          <w:i/>
          <w:iCs/>
        </w:rPr>
        <w:t xml:space="preserve">cross-sectional</w:t>
      </w:r>
      <w:r>
        <w:rPr>
          <w:rFonts w:ascii="Arial" w:eastAsia="Microsoft YaHei"/>
        </w:rPr>
        <w:t xml:space="preserve"> checklist). Item headings and sub-item wording follow the official checklist.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Location column:</w:t>
      </w:r>
      <w:r>
        <w:rPr>
          <w:rFonts w:ascii="Arial" w:eastAsia="Microsoft YaHei"/>
        </w:rPr>
        <w:t xml:space="preserve"> references are to the </w:t>
      </w:r>
      <w:r>
        <w:rPr>
          <w:rFonts w:ascii="Arial" w:eastAsia="Microsoft YaHei"/>
          <w:b/>
          <w:bCs/>
        </w:rPr>
        <w:t xml:space="preserve">actual submitted source files</w:t>
      </w:r>
      <w:r>
        <w:rPr>
          <w:rFonts w:ascii="Arial" w:eastAsia="Microsoft YaHei"/>
        </w:rPr>
        <w:t xml:space="preserve"> by line number so they are locatable now, not deferred to an accepted PDF: </w:t>
      </w:r>
      <w:r>
        <w:rPr>
          <w:rFonts w:ascii="Consolas" w:cs="Consolas" w:eastAsia="Consolas" w:hAnsi="Consolas"/>
        </w:rPr>
        <w:t xml:space="preserve">M##</w:t>
      </w:r>
      <w:r>
        <w:rPr>
          <w:rFonts w:ascii="Arial" w:eastAsia="Microsoft YaHei"/>
        </w:rPr>
        <w:t xml:space="preserve"> = line in </w:t>
      </w:r>
      <w:r>
        <w:rPr>
          <w:rFonts w:ascii="Consolas" w:cs="Consolas" w:eastAsia="Consolas" w:hAnsi="Consolas"/>
        </w:rPr>
        <w:t xml:space="preserve">manuscript/题目3手稿.md</w:t>
      </w:r>
      <w:r>
        <w:rPr>
          <w:rFonts w:ascii="Arial" w:eastAsia="Microsoft YaHei"/>
        </w:rPr>
        <w:t xml:space="preserve"> (main text), </w:t>
      </w:r>
      <w:r>
        <w:rPr>
          <w:rFonts w:ascii="Consolas" w:cs="Consolas" w:eastAsia="Consolas" w:hAnsi="Consolas"/>
        </w:rPr>
        <w:t xml:space="preserve">S##</w:t>
      </w:r>
      <w:r>
        <w:rPr>
          <w:rFonts w:ascii="Arial" w:eastAsia="Microsoft YaHei"/>
        </w:rPr>
        <w:t xml:space="preserve"> = line in </w:t>
      </w:r>
      <w:r>
        <w:rPr>
          <w:rFonts w:ascii="Consolas" w:cs="Consolas" w:eastAsia="Consolas" w:hAnsi="Consolas"/>
        </w:rPr>
        <w:t xml:space="preserve">manuscript/Supplementary_Materials_v7.md</w:t>
      </w:r>
      <w:r>
        <w:rPr>
          <w:rFonts w:ascii="Arial" w:eastAsia="Microsoft YaHei"/>
        </w:rPr>
        <w:t xml:space="preserve">. Where a section is cited by name the line range of that heading is given. If the files are re-flowed at typesetting these anchors must be re-generated from the final version. Where an item's </w:t>
      </w:r>
      <w:r>
        <w:rPr>
          <w:rFonts w:ascii="Arial" w:eastAsia="Microsoft YaHei"/>
          <w:b/>
          <w:bCs/>
        </w:rPr>
        <w:t xml:space="preserve">cohort- or case-control-specific text does not apply to a cross-sectional study</w:t>
      </w:r>
      <w:r>
        <w:rPr>
          <w:rFonts w:ascii="Arial" w:eastAsia="Microsoft YaHei"/>
        </w:rPr>
        <w:t xml:space="preserve">, it is marked </w:t>
      </w:r>
      <w:r>
        <w:rPr>
          <w:rFonts w:ascii="Arial" w:eastAsia="Microsoft YaHei"/>
          <w:i/>
          <w:iCs/>
        </w:rPr>
        <w:t xml:space="preserve">Not applicable</w:t>
      </w:r>
      <w:r>
        <w:rPr>
          <w:rFonts w:ascii="Arial" w:eastAsia="Microsoft YaHei"/>
        </w:rPr>
        <w:t xml:space="preserve"> with the reason.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Item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STROBE item heading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What the checklist asks (cross-sectional-relevant wording)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Where addressed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Location (submitted-file lines)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Title and abstract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Indicate the study's design with a commonly used term in the title or the abstract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Title and Abstract both state cross-sectional, NHANES 2005–2008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M1; M15–19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Title and abstract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Provide in the abstract an informative and balanced summary of what was done and what was found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Abstract: design, denominators, key weighted percentages with CIs, explicit statement that findings do not establish clinical underdiagnosis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M15–19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Background/rationale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Explain the scientific background and rationale for the investigation being reported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Introduction paras 1–3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M21–29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Objectives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State specific objectives, including any prespecified hypotheses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Introduction final paragraph (objectives i–iv); Methods "Outcomes and analysis classification" (no formal pre-specified hypotheses — stated as such)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M29; M107–109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Study design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Present key elements of study design early in the paper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Abstract + Methods "Study design and data sources" (cross-sectional secondary analysis; NHIS 2016 auxiliary)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M15–19; M93–97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Setting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Describe the setting, locations, and relevant dates, including periods of recruitment, exposure, follow-up, and data collection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Methods "Study design and data sources": US nationally representative survey, cycles 2005–06 and 2007–08, MEC examination data; NHIS 2016 sample-adult file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M93–97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6a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Participants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i/>
                <w:iCs/>
              </w:rPr>
              <w:t xml:space="preserve">Cross-sectional:</w:t>
            </w:r>
            <w:r>
              <w:rPr>
                <w:rFonts w:ascii="Arial" w:eastAsia="Microsoft YaHei"/>
              </w:rPr>
              <w:t xml:space="preserve"> Give eligibility criteria and the sources and methods of selection of participants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Methods "Study design and data sources"; Results "Study flow" — examined adults ≥40 with retinal photography; responders-only denominators; weighting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M93–97; M33–35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6b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Participants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(Cohort/case-control only) For matched studies, matching criteria and number of exposed/unexposed (or controls per case)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Not applicable</w:t>
            </w:r>
            <w:r>
              <w:rPr>
                <w:rFonts w:ascii="Arial" w:eastAsia="Microsoft YaHei"/>
              </w:rPr>
              <w:t xml:space="preserve"> — no matched design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—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Variables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Clearly define all outcomes, exposures, predictors, potential confounders and effect modifiers; give diagnostic criteria where applicable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Methods "Objective retinal grading", "Self-reported diagnosis…", "Outcomes and analysis classification" — graded DR/AMD (worse eye), patient-reported diagnosis, eye-care use, covariates, severity effect modifier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M99–109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Data sources/measurement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For each variable give sources of data and details of measurement; describe comparability across groups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Methods "Objective retinal grading" and "Self-reported diagnosis…"; Supplementary Table S8 variable provenance (official NHANES/NHIS codes, labels, values, recoding); NHIS comparability caveat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M99–105; S278–301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Bias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Describe any efforts to address potential sources of bias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Discussion measurement caveat (recall error, patient-reported vs chart, bidirectionality); non-response bounds (S2); gradability IPW (S6)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M73–83; S45–67; S170–214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Study size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Explain how the study size was arrived at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Methods — secondary analysis of the full NHANES examined ≥40 sample (n = 6,797), no </w:t>
            </w:r>
            <w:r>
              <w:rPr>
                <w:rFonts w:ascii="Arial" w:eastAsia="Microsoft YaHei"/>
                <w:i/>
                <w:iCs/>
              </w:rPr>
              <w:t xml:space="preserve">a priori</w:t>
            </w:r>
            <w:r>
              <w:rPr>
                <w:rFonts w:ascii="Arial" w:eastAsia="Microsoft YaHei"/>
              </w:rPr>
              <w:t xml:space="preserve"> power calculation; denominators reconciled in S1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M93–97; S9–44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Quantitative variables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Explain how quantitative variables were handled; describe groupings chosen and why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Methods "Self-reported diagnosis…": age top-coded 85; severity ordinal factor (mild NPDR reference); education/race coarsened; rationale given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M103–105; S103–131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12a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Statistical methods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Describe all statistical methods, including those used to control for confounding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Methods "Statistical analysis": design-weighted logit CIs, quasi-binomial svyglm with named covariates, Holm within-model, direct standardisation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M111–119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12b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Statistical methods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Describe any methods used to examine subgroups and interactions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Methods "Statistical analysis"; Results severity/age strata; exploratory exam × severity interaction (Table 3, S3c)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M111–119; M49–63; S152–169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12c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Statistical methods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Explain how missing data were addressed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Methods "Missing-data handling"; S4 (complete-case, missing-indicator, reduced, multiple imputation + diagnostics + mechanism)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M109; S132–151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12d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Statistical methods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i/>
                <w:iCs/>
              </w:rPr>
              <w:t xml:space="preserve">Cross-sectional:</w:t>
            </w:r>
            <w:r>
              <w:rPr>
                <w:rFonts w:ascii="Arial" w:eastAsia="Microsoft YaHei"/>
              </w:rPr>
              <w:t xml:space="preserve"> If applicable, describe analytical methods taking account of sampling strategy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Methods "Statistical analysis": pooled MEC weights (WTMEC2YR/2), SDMVSTRA/SDMVPSU, Taylor linearisation, </w:t>
            </w:r>
            <w:r>
              <w:rPr>
                <w:rFonts w:ascii="Consolas" w:cs="Consolas" w:eastAsia="Consolas" w:hAnsi="Consolas"/>
              </w:rPr>
              <w:t xml:space="preserve">lonely.psu=adjust</w:t>
            </w:r>
            <w:r>
              <w:rPr>
                <w:rFonts w:ascii="Arial" w:eastAsia="Microsoft YaHei"/>
              </w:rPr>
              <w:t xml:space="preserve">, </w:t>
            </w:r>
            <w:r>
              <w:rPr>
                <w:rFonts w:ascii="Consolas" w:cs="Consolas" w:eastAsia="Consolas" w:hAnsi="Consolas"/>
              </w:rPr>
              <w:t xml:space="preserve">subset()</w:t>
            </w:r>
            <w:r>
              <w:rPr>
                <w:rFonts w:ascii="Arial" w:eastAsia="Microsoft YaHei"/>
              </w:rPr>
              <w:t xml:space="preserve"> retaining design; design/residual df in S3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M111–119; S68–102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12e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Statistical methods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Describe any sensitivity analyses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S4 (missing data), S2 (non-response bounds), S6 (gradability IPW), S8 (AMD age vs severity), S7b (standardisation)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S132; S45; S170; S250; S229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13a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Participants (results)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Report numbers of individuals at each stage (eligible, examined, eligible-confirmed, included, analysed)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Results "Study flow"; Figure 1; S1 (6,797 → 5,704 gradable → 319/441 graded → 313/436 responders → 187/226 complete-case)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M33–35; S9–44; S302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13b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Participants (results)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Give reasons for non-participation at each stage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Results + S1/S5: ungradable images; item non-response (6 DR / 5 AMD); missing education/income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M33–35; S9–44; S170–177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13c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Participants (results)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Consider use of a flow diagram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Figure 1 (study flow)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S302–305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14a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Descriptive data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Give characteristics of study participants and information on exposures and potential confounders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Table 1 (weighted prevalence, demographics); Results prevalence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M165–177; M37–39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14b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Descriptive data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Indicate number of participants with missing data for each variable of interest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S1 per-variable missingness; S4(b) (education 32.6%, income 9.6%)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S9–44; S148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14c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Descriptive data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i/>
                <w:iCs/>
              </w:rPr>
              <w:t xml:space="preserve">Cohort only:</w:t>
            </w:r>
            <w:r>
              <w:rPr>
                <w:rFonts w:ascii="Arial" w:eastAsia="Microsoft YaHei"/>
              </w:rPr>
              <w:t xml:space="preserve"> Summarise follow-up time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Not applicable</w:t>
            </w:r>
            <w:r>
              <w:rPr>
                <w:rFonts w:ascii="Arial" w:eastAsia="Microsoft YaHei"/>
              </w:rPr>
              <w:t xml:space="preserve"> — cross-sectional, no follow-up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—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Outcome data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i/>
                <w:iCs/>
              </w:rPr>
              <w:t xml:space="preserve">Cross-sectional:</w:t>
            </w:r>
            <w:r>
              <w:rPr>
                <w:rFonts w:ascii="Arial" w:eastAsia="Microsoft YaHei"/>
              </w:rPr>
              <w:t xml:space="preserve"> Report numbers of outcome events or summary measures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Results diagnosis/care gaps and prevalence; Tables 1–2; S3/S2 (weighted proportions with CIs and n)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M37–55; M165–190; S103; S45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16a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Main results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Give unadjusted and, where applicable, adjusted estimates with precision (95% CI); make clear which confounders were adjusted and why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Results covariate + eye-care models (Table 3); unadjusted vs adjusted reported; adjusted set named; S3c full model; all CI/P from one object, audited in S3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M57–63; M192–220; S152–169; S79–102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16b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Main results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Report category boundaries when continuous variables were categorised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Methods "Self-reported diagnosis…" and S2/S8: age bands, education &lt;HS vs ≥HS, severity tiers, pir units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M103–105; S103–131; S278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16c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Main results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If relevant, consider translating relative risk into absolute risk over a meaningful time period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Not applicable</w:t>
            </w:r>
            <w:r>
              <w:rPr>
                <w:rFonts w:ascii="Arial" w:eastAsia="Microsoft YaHei"/>
              </w:rPr>
              <w:t xml:space="preserve"> — cross-sectional prevalence/odds; no person-time or absolute-risk conversion (stated limitation); model-adjusted predicted probabilities (81.8% vs 62.4%) given descriptively as the closest analogue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M61–63; S152–169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Other analyses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Report other analyses done — subgroups and interactions, and sensitivity analyses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Results severity/age subgroups, exploratory interaction; S4, S6, S9, S5, S7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M49–63; S132; S229; S239; S45; S79; S170; S250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Key results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Summarise key results with reference to study objectives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Discussion para 1 (core contributions) + Conclusions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M73; M85–89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Limitations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Discuss limitations, taking into account sources of bias/imprecision; discuss direction and magnitude of potential bias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Discussion limitations (cross-sectional; patient-reported construct with direction of over/under-statement; missingness; gradability selection; small strata; historical period)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M79–83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Interpretation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Give a cautious overall interpretation considering objectives, limitations, multiplicity, similar studies, other evidence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Discussion severity gradient; exploratory covariate/eye-care findings; no causal claim; comparison with refs 6/9; targeted-vs-broad screening framing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M73–77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Generalisability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Discuss the generalisability (external validity) of the results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Discussion limitations + Conclusions (≥40 restriction; 2005–2008 historical period; NHANES vs NHIS differences)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M79–83; M85–89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Funding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Give the source of funding and role of funders for the present study and, if applicable, the original study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"Funding" section — NCHS/CDC conducted the original surveys; </w:t>
            </w:r>
            <w:r>
              <w:rPr>
                <w:rFonts w:ascii="Arial" w:eastAsia="Microsoft YaHei"/>
                <w:b/>
                <w:bCs/>
              </w:rPr>
              <w:t xml:space="preserve">specific-analysis funding is an AUTHOR INPUT placeholder to be completed before submission</w:t>
            </w:r>
            <w:r>
              <w:rPr>
                <w:rFonts w:ascii="Arial" w:eastAsia="Microsoft YaHei"/>
              </w:rPr>
              <w:t xml:space="preserve"> (not fabricated)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M131–133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  <w:i/>
          <w:iCs/>
        </w:rPr>
        <w:t xml:space="preserve">Items 6b, 14c and the cohort/case-control wording of 16c are marked Not applicable because a cross-sectional survey has no matching, no follow-up time, and no meaningful time-period for relative-to-absolute-risk conversion. This checklist was re-numbered to follow the official STROBE statement exactly; no manuscript content was changed to fit the numbering, only its mapping. Line anchors refer to the current submitted source files and must be regenerated if the files are re-flowed.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2026-10-31T08:06:25.416Z</dcterms:created>
  <dcterms:modified xsi:type="dcterms:W3CDTF">2026-10-31T08:06:25.417Z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