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eastAsia="Microsoft YaHei"/>
        </w:rPr>
        <w:t xml:space="preserve">Supplementary Materials</w:t>
      </w:r>
    </w:p>
    <w:p>
      <w:pPr>
        <w:pStyle w:val="Heading2"/>
      </w:pPr>
      <w:r>
        <w:rPr>
          <w:rFonts w:ascii="Arial" w:eastAsia="Microsoft YaHei"/>
        </w:rPr>
        <w:t xml:space="preserve">Objectively graded retinal disease, self-reported diagnosis, and eye-care utilisation in US adults (NHANES 2005–2008)</w:t>
      </w:r>
    </w:p>
    <w:p>
      <w:pPr>
        <w:spacing w:after="120" w:line="360" w:lineRule="auto"/>
        <w:ind w:firstLine="480"/>
      </w:pPr>
      <w:r>
        <w:rPr>
          <w:rFonts w:ascii="Arial" w:eastAsia="Microsoft YaHei"/>
          <w:i/>
          <w:iCs/>
        </w:rPr>
        <w:t xml:space="preserve">All supplementary values are generated by `code/survey_analysis_v4.R` (core), `code/survey_analysis_v5.R`, `code/survey_analysis_v6.R` (construct-validity and robustness extensions) and `code/survey_analysis_v7.R` (per-model degrees-of-freedom audit, IPW weight decomposition, severity-adjusted AMD age model and late-AMD phenotype check), consolidated in `results/tables/numbers_v7.csv`, and audited by `code/verify_v7.py`, which enforces the sample-denominator assertions against the raw analytic dataset, verifies the per-model design/residual degrees-of-freedom and CI/P consistency, and re-checks every in-text value. Supplementary figures are produced by `code/build_figures_v13.py`. Every diagnosis-discordance denominator is restricted to participants who answered the relevant self-report item (responders-only). Proportion confidence intervals are design-based logit-transformed (`svyciprop(method="logit")`) and lie within 0–100%; adjusted-odds-ratio intervals use the design-based t critical value on each model's residual degrees of freedom, matching the Wald P values. Supplementary tables are numbered sequentially S1–S9 by topic; sub-parts are lettered (a)/(b)/(c) within a single table rather than given nested "S2b/S2c"-style numbers.</w:t>
      </w:r>
    </w:p>
    <w:p>
      <w:pPr>
        <w:pBdr>
          <w:bottom w:val="single" w:color="999999" w:sz="6" w:space="1"/>
        </w:pBdr>
      </w:pPr>
      <w:r>
        <w:t xml:space="preserve"/>
      </w:r>
    </w:p>
    <w:p>
      <w:pPr>
        <w:pStyle w:val="Heading3"/>
      </w:pPr>
      <w:r>
        <w:rPr>
          <w:rFonts w:ascii="Arial" w:eastAsia="Microsoft YaHei"/>
        </w:rPr>
        <w:t xml:space="preserve">Supplementary Figure S1. Objectively graded versus self-reported AMD: NHANES imaging compared with NHIS self-report</w:t>
      </w:r>
    </w:p>
    <w:p>
      <w:pPr>
        <w:jc w:val="center"/>
      </w:pPr>
      <w:r>
        <w:drawing>
          <wp:inline distT="0" distB="0" distL="0" distR="0">
            <wp:extent cx="4572000" cy="4572000"/>
            <wp:effectExtent t="0" r="0" b="0" l="0"/>
            <wp:docPr id="1" name="Figure S1" descr="Figure S1" title="Figure 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4572000"/>
                    </a:xfrm>
                    <a:prstGeom prst="rect">
                      <a:avLst/>
                    </a:prstGeom>
                  </pic:spPr>
                </pic:pic>
              </a:graphicData>
            </a:graphic>
          </wp:inline>
        </w:drawing>
      </w:r>
    </w:p>
    <w:p>
      <w:pPr>
        <w:spacing w:after="160"/>
        <w:jc w:val="center"/>
      </w:pPr>
      <w:r>
        <w:rPr>
          <w:rFonts w:ascii="Arial" w:eastAsia="Microsoft YaHei"/>
          <w:i/>
          <w:iCs/>
          <w:color w:val="444444"/>
          <w:sz w:val="20"/>
          <w:szCs w:val="20"/>
        </w:rPr>
        <w:t xml:space="preserve">Figure S1</w:t>
      </w:r>
    </w:p>
    <w:p>
      <w:pPr>
        <w:spacing w:after="120" w:line="360" w:lineRule="auto"/>
        <w:ind w:firstLine="480"/>
      </w:pPr>
      <w:r>
        <w:rPr>
          <w:rFonts w:ascii="Arial" w:eastAsia="Microsoft YaHei"/>
          <w:i/>
          <w:iCs/>
        </w:rPr>
        <w:t xml:space="preserve">NHANES retinal-photograph grading (2005–2008, weighted 6.58%) compared with NHIS self-reported macular degeneration (2016, survey-weighted crude 2.66% and directly age-standardised 2.45% to the NHANES 40+ structure). The surveys differ in instrument, calendar year and measurement method and are shown only as a contextual comparison; bars show 95% CIs. The age-standardised CI is conditional on the fixed NHANES-derived standard weights. Corresponds to the main-text cross-survey benchmark paragraph; numeric detail in Supplementary Table S6.</w:t>
      </w:r>
    </w:p>
    <w:p>
      <w:pPr>
        <w:pStyle w:val="Heading3"/>
      </w:pPr>
      <w:r>
        <w:rPr>
          <w:rFonts w:ascii="Arial" w:eastAsia="Microsoft YaHei"/>
        </w:rPr>
        <w:t xml:space="preserve">Supplementary Figure S2. Grading-feasibility sensitivity (naive versus inverse-probability-weighted prevalence)</w:t>
      </w:r>
    </w:p>
    <w:p>
      <w:pPr>
        <w:jc w:val="center"/>
      </w:pPr>
      <w:r>
        <w:drawing>
          <wp:inline distT="0" distB="0" distL="0" distR="0">
            <wp:extent cx="4572000" cy="4572000"/>
            <wp:effectExtent t="0" r="0" b="0" l="0"/>
            <wp:docPr id="1" name="Figure S2" descr="Figure S2" title="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4572000"/>
                    </a:xfrm>
                    <a:prstGeom prst="rect">
                      <a:avLst/>
                    </a:prstGeom>
                  </pic:spPr>
                </pic:pic>
              </a:graphicData>
            </a:graphic>
          </wp:inline>
        </w:drawing>
      </w:r>
    </w:p>
    <w:p>
      <w:pPr>
        <w:spacing w:after="160"/>
        <w:jc w:val="center"/>
      </w:pPr>
      <w:r>
        <w:rPr>
          <w:rFonts w:ascii="Arial" w:eastAsia="Microsoft YaHei"/>
          <w:i/>
          <w:iCs/>
          <w:color w:val="444444"/>
          <w:sz w:val="20"/>
          <w:szCs w:val="20"/>
        </w:rPr>
        <w:t xml:space="preserve">Figure S2</w:t>
      </w:r>
    </w:p>
    <w:p>
      <w:pPr>
        <w:spacing w:after="120" w:line="360" w:lineRule="auto"/>
        <w:ind w:firstLine="480"/>
      </w:pPr>
      <w:r>
        <w:rPr>
          <w:rFonts w:ascii="Arial" w:eastAsia="Microsoft YaHei"/>
          <w:i/>
          <w:iCs/>
        </w:rPr>
        <w:t xml:space="preserve">Naive (gradable-only) versus inverse-probability-weighted whole-population prevalence of any retinopathy and any AMD under a base (age, sex, race/ethnicity) and an extended (+ diabetes, insurance, education) gradability model. IPW shifts each estimate by ≤ 0.6 percentage points, indicating that observable gradable-vs-ungradable differences do not materially move the descriptive prevalence. Full weight decomposition in Supplementary Table S5.</w:t>
      </w:r>
    </w:p>
    <w:p>
      <w:pPr>
        <w:pBdr>
          <w:bottom w:val="single" w:color="999999" w:sz="6" w:space="1"/>
        </w:pBdr>
      </w:pPr>
      <w:r>
        <w:t xml:space="preserve"/>
      </w:r>
    </w:p>
    <w:p>
      <w:pPr>
        <w:pStyle w:val="Heading3"/>
      </w:pPr>
      <w:r>
        <w:rPr>
          <w:rFonts w:ascii="Arial" w:eastAsia="Microsoft YaHei"/>
        </w:rPr>
        <w:t xml:space="preserve">Supplementary Table S1. Screening, per-variable missingness, model-denominator reconciliation, and additional NHANES descriptive context</w:t>
      </w:r>
    </w:p>
    <w:p>
      <w:pPr>
        <w:spacing w:after="120" w:line="360" w:lineRule="auto"/>
        <w:ind w:firstLine="480"/>
      </w:pPr>
      <w:r>
        <w:rPr>
          <w:rFonts w:ascii="Arial" w:eastAsia="Microsoft YaHei"/>
          <w:b/>
          <w:bCs/>
        </w:rPr>
        <w:t xml:space="preserve">(a) Cohort build-up (NHANES 2005–2008, examined adults ≥40).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Step</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DR cohort</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AMD cohort</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Examined adults ≥40 with retinal photography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Gradable retinal image (worse eye)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5,704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5,604</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Objectively graded disease present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319 (diabetes + retinopathy)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441 (any AMD)</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Answered the self-report diagnosis item → </w:t>
            </w:r>
            <w:r>
              <w:rPr>
                <w:rFonts w:ascii="Arial" w:eastAsia="Microsoft YaHei"/>
                <w:b/>
                <w:bCs/>
              </w:rPr>
              <w:t xml:space="preserve">primary gap denominator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436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Non-responders excluded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w:t>
            </w:r>
          </w:p>
        </w:tc>
      </w:tr>
    </w:tbl>
    <w:p>
      <w:r>
        <w:t xml:space="preserve"/>
      </w:r>
    </w:p>
    <w:p>
      <w:pPr>
        <w:spacing w:after="120" w:line="360" w:lineRule="auto"/>
        <w:ind w:firstLine="480"/>
      </w:pPr>
      <w:r>
        <w:rPr>
          <w:rFonts w:ascii="Arial" w:eastAsia="Microsoft YaHei"/>
          <w:b/>
          <w:bCs/>
        </w:rPr>
        <w:t xml:space="preserve">(b) Per-variable missingness among gap-eligible responders.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Cohort</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Eligible (responders)</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education</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income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insurance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usual source</w:t>
            </w:r>
          </w:p>
        </w:tc>
        <w:tc>
          <w:tcPr>
            <w:tcW w:type="dxa" w:w="1289"/>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dilated-exam item</w:t>
            </w:r>
          </w:p>
        </w:tc>
      </w:tr>
      <w:t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102</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r>
      <w:t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188</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42</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377</w:t>
            </w:r>
          </w:p>
        </w:tc>
      </w:tr>
    </w:tbl>
    <w:p>
      <w:r>
        <w:t xml:space="preserve"/>
      </w:r>
    </w:p>
    <w:p>
      <w:pPr>
        <w:spacing w:after="120" w:line="360" w:lineRule="auto"/>
        <w:ind w:firstLine="480"/>
      </w:pPr>
      <w:r>
        <w:rPr>
          <w:rFonts w:ascii="Arial" w:eastAsia="Microsoft YaHei"/>
          <w:i/>
          <w:iCs/>
        </w:rPr>
        <w:t xml:space="preserve">The AMD dilated-exam item is missing for 377/436 because `DIQ360` is asked only of people with diabetes; only 59 AMD responders were diabetic, which is why the eye-care–awareness analysis cannot be run for AMD.</w:t>
      </w:r>
    </w:p>
    <w:p>
      <w:pPr>
        <w:spacing w:after="120" w:line="360" w:lineRule="auto"/>
        <w:ind w:firstLine="480"/>
      </w:pPr>
      <w:r>
        <w:rPr>
          <w:rFonts w:ascii="Arial" w:eastAsia="Microsoft YaHei"/>
          <w:b/>
          <w:bCs/>
        </w:rPr>
        <w:t xml:space="preserve">(c) Model-denominator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DR</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AMD</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 diagnosis-gap denominator (responders)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Core complete-case model (education AND income complete)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Core + insurance (education, income, insurance complete)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Missing-indicator sensitivity model (retains all responders; income median-filled + income &amp; education missingness flags)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Multiple-imputation model (m = 20, Rubin-pooled; retains all responders)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Reduced model (education dropped, income kept)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283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Education-complete subset — </w:t>
            </w:r>
            <w:r>
              <w:rPr>
                <w:rFonts w:ascii="Arial" w:eastAsia="Microsoft YaHei"/>
                <w:b/>
                <w:bCs/>
              </w:rPr>
              <w:t xml:space="preserve">descriptive count only, not a fitted model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Insurance descriptive (coverage known)</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225</w:t>
            </w:r>
          </w:p>
        </w:tc>
      </w:tr>
    </w:tbl>
    <w:p>
      <w:r>
        <w:t xml:space="preserve"/>
      </w:r>
    </w:p>
    <w:p>
      <w:pPr>
        <w:spacing w:after="120" w:line="360" w:lineRule="auto"/>
        <w:ind w:firstLine="480"/>
      </w:pPr>
      <w:r>
        <w:rPr>
          <w:rFonts w:ascii="Arial" w:eastAsia="Microsoft YaHei"/>
          <w:i/>
          <w:iCs/>
        </w:rPr>
        <w:t xml:space="preserve">The reduction from 313 (436) to the core model 187 (226) is driven by missing education and income. The single fitted missing-indicator model retains </w:t>
      </w:r>
      <w:r>
        <w:rPr>
          <w:rFonts w:ascii="Arial" w:eastAsia="Microsoft YaHei"/>
          <w:i/>
          <w:iCs/>
        </w:rPr>
        <w:t xml:space="preserve">all 313</w:t>
      </w:r>
      <w:r>
        <w:rPr>
          <w:rFonts w:ascii="Arial" w:eastAsia="Microsoft YaHei"/>
          <w:i/>
          <w:iCs/>
        </w:rPr>
        <w:t xml:space="preserve"> responders by median-filling income and adding missingness indicators for both income and education; it is therefore distinct from the education-complete count of 211, which is reported only to explain attrition and is not itself a model. Because a missing-indicator approach cannot exclude informative (MNAR) missingness, it is used as a stability check, not as evidence that missingness is ignorable. </w:t>
      </w:r>
      <w:r>
        <w:rPr>
          <w:rFonts w:ascii="Arial" w:eastAsia="Microsoft YaHei"/>
          <w:i/>
          <w:iCs/>
        </w:rPr>
        <w:t xml:space="preserve">AMD insurance descriptive (moved here from the main-text model table because it is not a fitted term):</w:t>
      </w:r>
      <w:r>
        <w:rPr>
          <w:rFonts w:ascii="Arial" w:eastAsia="Microsoft YaHei"/>
          <w:i/>
          <w:iCs/>
        </w:rPr>
        <w:t xml:space="preserve"> among the 225 AMD responders with a known coverage status — a subset of the 226 core cases in which insurance was recorded, not all 436 AMD responders — 177 of 211 insured (83.9%) and all 14 of 14 uninsured reported no prior diagnosis. Because the uninsured stratum was perfectly separated from the outcome, an insured-versus-uninsured odds ratio is not estimable in a conventional logistic model for AMD; the AMD model therefore excludes insurance, and this table records the raw descriptive contrast only.</w:t>
      </w:r>
    </w:p>
    <w:p>
      <w:pPr>
        <w:spacing w:after="120" w:line="360" w:lineRule="auto"/>
        <w:ind w:firstLine="480"/>
      </w:pPr>
      <w:r>
        <w:rPr>
          <w:rFonts w:ascii="Arial" w:eastAsia="Microsoft YaHei"/>
          <w:b/>
          <w:bCs/>
        </w:rPr>
        <w:t xml:space="preserve">(d) Additional NHANES descriptive measures (moved out of the main prevalence table).</w:t>
      </w:r>
      <w:r>
        <w:rPr>
          <w:rFonts w:ascii="Arial" w:eastAsia="Microsoft YaHei"/>
        </w:rPr>
        <w:t xml:space="preserve"> These whole-population descriptives are reported for completeness and are </w:t>
      </w:r>
      <w:r>
        <w:rPr>
          <w:rFonts w:ascii="Arial" w:eastAsia="Microsoft YaHei"/>
          <w:b/>
          <w:bCs/>
        </w:rPr>
        <w:t xml:space="preserve">not</w:t>
      </w:r>
      <w:r>
        <w:rPr>
          <w:rFonts w:ascii="Arial" w:eastAsia="Microsoft YaHei"/>
        </w:rPr>
        <w:t xml:space="preserve"> part of the objective-versus-reported comparison; they should not be read alongside the imaging outcomes in main-text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 (NHANES 2005–2008, examined ≥40)</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Weighted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health insurance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6,788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87.4 (85.1–89.4)</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Self-reported glaucoma diagnosis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6,760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5.06 (4.41–5.80)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Self-reported cataract surgery (VIQ071)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11.07 (10.03–12.21)</w:t>
            </w:r>
          </w:p>
        </w:tc>
      </w:tr>
    </w:tbl>
    <w:p>
      <w:r>
        <w:t xml:space="preserve"/>
      </w:r>
    </w:p>
    <w:p>
      <w:pPr>
        <w:spacing w:after="120" w:line="360" w:lineRule="auto"/>
        <w:ind w:firstLine="480"/>
      </w:pPr>
      <w:r>
        <w:rPr>
          <w:rFonts w:ascii="Arial" w:eastAsia="Microsoft YaHei"/>
          <w:i/>
          <w:iCs/>
        </w:rPr>
        <w:t xml:space="preserve">Note the construct: NHANES records cataract-</w:t>
      </w:r>
      <w:r>
        <w:rPr>
          <w:rFonts w:ascii="Arial" w:eastAsia="Microsoft YaHei"/>
          <w:i/>
          <w:iCs/>
        </w:rPr>
        <w:t xml:space="preserve">surgery</w:t>
      </w:r>
      <w:r>
        <w:rPr>
          <w:rFonts w:ascii="Arial" w:eastAsia="Microsoft YaHei"/>
          <w:i/>
          <w:iCs/>
        </w:rPr>
        <w:t xml:space="preserve"> history (`VIQ071`), which is different from the NHIS "ever told you had cataract" item reported in Supplementary Table S6(d); the two are deliberately not compared.</w:t>
      </w:r>
    </w:p>
    <w:p>
      <w:pPr>
        <w:pStyle w:val="Heading3"/>
      </w:pPr>
      <w:r>
        <w:rPr>
          <w:rFonts w:ascii="Arial" w:eastAsia="Microsoft YaHei"/>
        </w:rPr>
        <w:t xml:space="preserve">Supplementary Table S2. Diagnosis discordance by severity, stage and age (survey-weighted % with no self-reported diagnosis; responders; logit CIs)</w:t>
      </w:r>
    </w:p>
    <w:p>
      <w:pPr>
        <w:spacing w:after="120" w:line="360" w:lineRule="auto"/>
        <w:ind w:firstLine="480"/>
      </w:pPr>
      <w:r>
        <w:rPr>
          <w:rFonts w:ascii="Arial" w:eastAsia="Microsoft YaHei"/>
          <w:b/>
          <w:bCs/>
        </w:rPr>
        <w:t xml:space="preserve">(a) DR diagnosis gap by retinopathy severity.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(primary)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(63.8–75.9)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Mild NPDR (OPDURL4 = 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78.1 (71.3–83.7)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 (OPDURL4 = 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64.4 (48.3–77.8)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 (OPDURL4 = 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(5.0–39.7)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Moderate-or-worse (pooled, </w:t>
            </w:r>
            <w:r>
              <w:rPr>
                <w:rFonts w:ascii="Arial" w:eastAsia="Microsoft YaHei"/>
                <w:b/>
                <w:bCs/>
              </w:rPr>
              <w:t xml:space="preserve">overlapping</w:t>
            </w:r>
            <w:r>
              <w:rPr>
                <w:rFonts w:ascii="Arial" w:eastAsia="Microsoft YaHei"/>
              </w:rPr>
              <w:t xml:space="preserve"> summary)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116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53.4 (38.7–67.5)</w:t>
            </w:r>
          </w:p>
        </w:tc>
      </w:tr>
    </w:tbl>
    <w:p>
      <w:r>
        <w:t xml:space="preserve"/>
      </w:r>
    </w:p>
    <w:p>
      <w:pPr>
        <w:spacing w:after="120" w:line="360" w:lineRule="auto"/>
        <w:ind w:firstLine="480"/>
      </w:pPr>
      <w:r>
        <w:rPr>
          <w:rFonts w:ascii="Arial" w:eastAsia="Microsoft YaHei"/>
        </w:rPr>
        <w:t xml:space="preserve">*</w:t>
      </w:r>
      <w:r>
        <w:rPr>
          <w:rFonts w:ascii="Arial" w:eastAsia="Microsoft YaHei"/>
          <w:i/>
          <w:iCs/>
        </w:rPr>
        <w:t xml:space="preserve">(b) Self-reported diabetic-eye diagnosis (percent </w:t>
      </w:r>
      <w:r>
        <w:rPr>
          <w:rFonts w:ascii="Arial" w:eastAsia="Microsoft YaHei"/>
        </w:rPr>
        <w:t xml:space="preserve">diagnosed</w:t>
      </w:r>
      <w:r>
        <w:rPr>
          <w:rFonts w:ascii="Arial" w:eastAsia="Microsoft YaHei"/>
          <w:i/>
          <w:iCs/>
        </w:rPr>
        <w:t xml:space="preserve">) by severity, for contrast.</w:t>
      </w:r>
      <w:r>
        <w:rPr>
          <w:rFonts w:ascii="Arial" w:eastAsia="Microsoft YaHe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diagnosed</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No gradable retinopathy (OPDURL4 = 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Mild NPDR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84.3</w:t>
            </w:r>
          </w:p>
        </w:tc>
      </w:tr>
    </w:tbl>
    <w:p>
      <w:r>
        <w:t xml:space="preserve"/>
      </w:r>
    </w:p>
    <w:p>
      <w:pPr>
        <w:spacing w:after="120" w:line="360" w:lineRule="auto"/>
        <w:ind w:firstLine="480"/>
      </w:pPr>
      <w:r>
        <w:rPr>
          <w:rFonts w:ascii="Arial" w:eastAsia="Microsoft YaHei"/>
          <w:b/>
          <w:bCs/>
        </w:rPr>
        <w:t xml:space="preserve">(c) AMD diagnosis gap by stage and late phenotype.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AMD (primary, all stages)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381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87.9 (84.4–90.6)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 AMD (clinically relevant)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41.4 (25.3–59.6)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Geographic atrophy (high-severity)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50.3 (26.6–73.9)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Exudative / neovascular AMD (high-severity)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27.7 (8.0–62.9)</w:t>
            </w:r>
          </w:p>
        </w:tc>
      </w:tr>
    </w:tbl>
    <w:p>
      <w:r>
        <w:t xml:space="preserve"/>
      </w:r>
    </w:p>
    <w:p>
      <w:pPr>
        <w:spacing w:after="120" w:line="360" w:lineRule="auto"/>
        <w:ind w:firstLine="480"/>
      </w:pPr>
      <w:r>
        <w:rPr>
          <w:rFonts w:ascii="Arial" w:eastAsia="Microsoft YaHei"/>
          <w:b/>
          <w:bCs/>
        </w:rPr>
        <w:t xml:space="preserve">(d) Diagnosis gap by age stratum.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Cohort / band</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99.1 (95.6–99.8)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60–74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86.6 (77.8–92.3)</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66.7 (60.1–72.6)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≥50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79.7 (75.0–83.8)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73.4 (59.9–83.6)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60–74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66.5 (58.6–73.6)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≥75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71.1 (56.0–82.7)</w:t>
            </w:r>
          </w:p>
        </w:tc>
      </w:tr>
    </w:tbl>
    <w:p>
      <w:r>
        <w:t xml:space="preserve"/>
      </w:r>
    </w:p>
    <w:p>
      <w:pPr>
        <w:spacing w:after="120" w:line="360" w:lineRule="auto"/>
        <w:ind w:firstLine="480"/>
      </w:pPr>
      <w:r>
        <w:rPr>
          <w:rFonts w:ascii="Arial" w:eastAsia="Microsoft YaHei"/>
          <w:i/>
          <w:iCs/>
        </w:rPr>
        <w:t xml:space="preserve">The severity responder counts (560/197/85/31 = 873) are the diabetes-restricted gradable participants who answered `DIQ080`; the retinopathy subset (197+85+31 = 313) equals the primary DR gap denominator. Severity is a grading category, not a treatment indication. Early and late AMD gaps are computed directly from their own responder sets (381 and 55), not by subtracting one percentage from another. Because the late-AMD and high-severity strata are small, they are reported as design-weighted proportions with confidence intervals, without additional multivariable modelling; the geographic-atrophy vs neovascular difference has wide, overlapping intervals and is not an established group difference. The subtype counts are mutually exclusive rather than double-counted: NHANES records the two late-AMD phenotypes as separate flags (`OPDUGA`, `OPDUEXU`), the worse-eye summary assigns each participant to a single late-AMD category, and no participant was flagged with both phenotypes in the same worse eye (0 of 55), so 32 + 23 = 55 reproduces the late-AMD total exactly. A single worse eye can carry only one graded phenotype, so a bilateral-mixed pattern (geographic atrophy in one eye, neovascular disease in the other) could in principle be undercounted; the counts are best read as an approximately mutually exclusive partition rather than clinically exhaustive phenotyping.</w:t>
      </w:r>
    </w:p>
    <w:p>
      <w:pPr>
        <w:pStyle w:val="Heading3"/>
      </w:pPr>
      <w:r>
        <w:rPr>
          <w:rFonts w:ascii="Arial" w:eastAsia="Microsoft YaHei"/>
        </w:rPr>
        <w:t xml:space="preserve">Supplementary Table S3. Regression coefficients and design-degrees-of-freedom audit (all estimates read from the same fitted model object)</w:t>
      </w:r>
    </w:p>
    <w:p>
      <w:pPr>
        <w:spacing w:after="120" w:line="360" w:lineRule="auto"/>
        <w:ind w:firstLine="480"/>
      </w:pPr>
      <w:r>
        <w:rPr>
          <w:rFonts w:ascii="Arial" w:eastAsia="Microsoft YaHei"/>
          <w:b/>
          <w:bCs/>
        </w:rPr>
        <w:t xml:space="preserve">(a) Design degrees of freedom contributing to each analytic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Analytic subset</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Number of strata</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Total number of PSUs</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Design degrees of freedom (</w:t>
            </w:r>
            <w:r>
              <w:rPr>
                <w:rFonts w:ascii="Consolas" w:cs="Consolas" w:eastAsia="Consolas" w:hAnsi="Consolas"/>
              </w:rPr>
              <w:t xml:space="preserve">survey::degf</w:t>
            </w:r>
            <w:r>
              <w:rPr>
                <w:rFonts w:ascii="Arial" w:eastAsia="Microsoft YaHei"/>
              </w:rPr>
              <w:t xml:space="preserve">)</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responders (313)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59</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28</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responders (436)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436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core complete-case model (187)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core complete-case model (226)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29</w:t>
            </w:r>
          </w:p>
        </w:tc>
      </w:tr>
    </w:tbl>
    <w:p>
      <w:r>
        <w:t xml:space="preserve"/>
      </w:r>
    </w:p>
    <w:p>
      <w:pPr>
        <w:spacing w:after="120" w:line="360" w:lineRule="auto"/>
        <w:ind w:firstLine="480"/>
      </w:pPr>
      <w:r>
        <w:rPr>
          <w:rFonts w:ascii="Arial" w:eastAsia="Microsoft YaHei"/>
          <w:i/>
          <w:iCs/>
        </w:rPr>
        <w:t xml:space="preserve">PSUs are counted as unique stratum×PSU combinations. NHANES samples two PSUs per stratum, so the total PSU count in a subset is roughly twice the number of strata (59–62), not 2; `SDMVPSU` itself only carries the within-stratum labels 1 and 2. Design degrees of freedom equal (total PSUs − strata), and are reduced further where a complete-case subset leaves a stratum with a single contributing PSU. These values were obtained with `survey::degf()` on each subset design. </w:t>
      </w:r>
      <w:r>
        <w:rPr>
          <w:rFonts w:ascii="Arial" w:eastAsia="Microsoft YaHei"/>
          <w:i/>
          <w:iCs/>
        </w:rPr>
        <w:t xml:space="preserve">Design df, model residual df and the `summary.svyglm` df are distinct quantities and are not interchangeable</w:t>
      </w:r>
      <w:r>
        <w:rPr>
          <w:rFonts w:ascii="Arial" w:eastAsia="Microsoft YaHei"/>
          <w:i/>
          <w:iCs/>
        </w:rPr>
        <w:t xml:space="preserve">: `survey` performs regression inference at the model </w:t>
      </w:r>
      <w:r>
        <w:rPr>
          <w:rFonts w:ascii="Arial" w:eastAsia="Microsoft YaHei"/>
        </w:rPr>
        <w:t xml:space="preserve">residual</w:t>
      </w:r>
      <w:r>
        <w:rPr>
          <w:rFonts w:ascii="Arial" w:eastAsia="Microsoft YaHei"/>
          <w:i/>
          <w:iCs/>
        </w:rPr>
        <w:t xml:space="preserve"> df, which equals `degf(design) − model rank + 1`. Panel (b) exports, for every model reported in this study, the design df, the model rank, the resulting residual df, the exact t-multiplier `qt(0.975, df)`, and the coefficient/SE/aOR/CI/raw-P/Holm-P all read from the </w:t>
      </w:r>
      <w:r>
        <w:rPr>
          <w:rFonts w:ascii="Arial" w:eastAsia="Microsoft YaHei"/>
        </w:rPr>
        <w:t xml:space="preserve">same fitted model object</w:t>
      </w:r>
      <w:r>
        <w:rPr>
          <w:rFonts w:ascii="Arial" w:eastAsia="Microsoft YaHei"/>
          <w:i/>
          <w:iCs/>
        </w:rPr>
        <w:t xml:space="preserve">, so that confidence intervals and P values cannot drift apart from one another. For the DR eye-care model the residual df is 13 (degf 22 − rank 10 + 1), and this single df reproduces both the reported exam odds ratio 0.30 (0.10–0.92) and P = 0.038.</w:t>
      </w:r>
    </w:p>
    <w:p>
      <w:pPr>
        <w:spacing w:after="120" w:line="360" w:lineRule="auto"/>
        <w:ind w:firstLine="480"/>
      </w:pPr>
      <w:r>
        <w:rPr>
          <w:rFonts w:ascii="Arial" w:eastAsia="Microsoft YaHei"/>
          <w:b/>
          <w:bCs/>
        </w:rPr>
        <w:t xml:space="preserve">(b) Per-model degrees-of-freedom and estimate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2"/>
      </w:tblGrid>
      <w:tr>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Model</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Design df (</w:t>
            </w:r>
            <w:r>
              <w:rPr>
                <w:rFonts w:ascii="Consolas" w:cs="Consolas" w:eastAsia="Consolas" w:hAnsi="Consolas"/>
              </w:rPr>
              <w:t xml:space="preserve">degf</w:t>
            </w:r>
            <w:r>
              <w:rPr>
                <w:rFonts w:ascii="Arial" w:eastAsia="Microsoft YaHei"/>
              </w:rPr>
              <w:t xml:space="preserve">)</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Rank</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Residual df</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CI multiplier t(0.975, df)</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90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PRIMARY DR core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yr)</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(0.96–1.02)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1.29 (0.45–3.71)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0.67 (0.28–1.61)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(0.49–5.07)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1.34 (0.92–1.96)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0.119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0.594</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PRIMARY AMD core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2.064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yr)</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0.93 (0.89–0.96)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0.00061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0.0031</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(0.32–3.08)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0.82 (0.31–2.21)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1.56 (0.29–8.52)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0.59</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0.88 (0.60–1.31)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SUPP DR + insurance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2.120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1.39 (0.96–2.00)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0.077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0.463</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 (0.57–6.13)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ANALYSIS A (eye-care)</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187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2.160</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1.49 (1.04–2.15)</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0.261</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0.72 (0.17–2.97)</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Recent dilated exam</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0.30 (0.10–0.92)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0.038</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0.266</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Severity grade 3</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 (0.15–1.21)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0.102</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0.614</w:t>
            </w:r>
          </w:p>
        </w:tc>
      </w:tr>
      <w:tr>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Severity grade 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0.05 (0.01–0.24)</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0.0011</w:t>
            </w:r>
          </w:p>
        </w:tc>
        <w:tc>
          <w:tcPr>
            <w:tcW w:type="dxa" w:w="90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0.0099</w:t>
            </w:r>
          </w:p>
        </w:tc>
      </w:tr>
    </w:tbl>
    <w:p>
      <w:r>
        <w:t xml:space="preserve"/>
      </w:r>
    </w:p>
    <w:p>
      <w:pPr>
        <w:spacing w:after="120" w:line="360" w:lineRule="auto"/>
        <w:ind w:firstLine="480"/>
      </w:pPr>
      <w:r>
        <w:rPr>
          <w:rFonts w:ascii="Arial" w:eastAsia="Microsoft YaHei"/>
          <w:i/>
          <w:iCs/>
        </w:rPr>
        <w:t xml:space="preserve">The aORs, CIs, SEs, raw P and Holm P in every row were extracted programmatically from the single `svyglm` (quasibinomial) object for that model (see `t_model_audit_v7.csv` / keys `audit|</w:t>
      </w:r>
      <w:r>
        <w:rPr>
          <w:rFonts w:ascii="Consolas" w:cs="Consolas" w:eastAsia="Consolas" w:hAnsi="Consolas"/>
        </w:rPr>
        <w:t xml:space="preserve"> and </w:t>
      </w:r>
      <w:r>
        <w:rPr>
          <w:rFonts w:ascii="Arial" w:eastAsia="Microsoft YaHei"/>
        </w:rPr>
        <w:t xml:space="preserve">audit</w:t>
      </w:r>
      <w:r>
        <w:rPr>
          <w:rFonts w:ascii="Arial" w:eastAsia="Microsoft YaHei"/>
          <w:i/>
          <w:iCs/>
        </w:rPr>
        <w:t xml:space="preserve">df|*` in `numbers</w:t>
      </w:r>
      <w:r>
        <w:rPr>
          <w:rFonts w:ascii="Arial" w:eastAsia="Microsoft YaHei"/>
        </w:rPr>
        <w:t xml:space="preserve">v7.csv</w:t>
      </w:r>
      <w:r>
        <w:rPr>
          <w:rFonts w:ascii="Consolas" w:cs="Consolas" w:eastAsia="Consolas" w:hAnsi="Consolas"/>
        </w:rPr>
        <w:t xml:space="preserve">); none were hand-filled or computed from a different df than the P value. The 95% CI uses </w:t>
      </w:r>
      <w:r>
        <w:rPr>
          <w:rFonts w:ascii="Arial" w:eastAsia="Microsoft YaHei"/>
        </w:rPr>
        <w:t xml:space="preserve">exp(coef ± t(0.975, dfres)·SE)</w:t>
      </w:r>
      <w:r>
        <w:rPr>
          <w:rFonts w:ascii="Consolas" w:cs="Consolas" w:eastAsia="Consolas" w:hAnsi="Consolas"/>
        </w:rPr>
        <w:t xml:space="preserve"> at the residual df in the same row, and the raw P is the Wald-</w:t>
      </w:r>
      <w:r>
        <w:rPr>
          <w:rFonts w:ascii="Arial" w:eastAsia="Microsoft YaHei"/>
        </w:rPr>
        <w:t xml:space="preserve">t</w:t>
      </w:r>
      <w:r>
        <w:rPr>
          <w:rFonts w:ascii="Consolas" w:cs="Consolas" w:eastAsia="Consolas" w:hAnsi="Consolas"/>
        </w:rPr>
        <w:t xml:space="preserve"> P from </w:t>
      </w:r>
      <w:r>
        <w:rPr>
          <w:rFonts w:ascii="Arial" w:eastAsia="Microsoft YaHei"/>
        </w:rPr>
        <w:t xml:space="preserve">summary()` at that same df — the two are guaranteed mutually consistent. Holm adjustment is applied within each model's set of tested terms. The two models whose headline figures the reviewer asked us to re-verify are the DR core model (poverty-income 1.34) and the DR eye-care model (recent dilated exam 0.30, 0.10–0.92, P = 0.038, Holm P = 0.266, residual df = 13): both are reproduced here exactly as reported in the main text, from one model object.*</w:t>
      </w:r>
    </w:p>
    <w:p>
      <w:pPr>
        <w:spacing w:after="120" w:line="360" w:lineRule="auto"/>
        <w:ind w:firstLine="480"/>
      </w:pPr>
      <w:r>
        <w:rPr>
          <w:rFonts w:ascii="Arial" w:eastAsia="Microsoft YaHei"/>
          <w:b/>
          <w:bCs/>
        </w:rPr>
        <w:t xml:space="preserve">(c) Complete eye-care–awareness model (analysis A), adults with diabetes + objective retinopathy, responders, n = 187.</w:t>
      </w:r>
      <w:r>
        <w:rPr>
          <w:rFonts w:ascii="Arial" w:eastAsia="Microsoft YaHei"/>
        </w:rPr>
        <w:t xml:space="preserve"> Outcome = no self-reported diabetic-eye diagnosis; all covariates shown. </w:t>
      </w:r>
      <w:r>
        <w:rPr>
          <w:rFonts w:ascii="Arial" w:eastAsia="Microsoft YaHei"/>
          <w:b/>
          <w:bCs/>
        </w:rPr>
        <w:t xml:space="preserve">Mild NPDR is the severity reference category</w:t>
      </w:r>
      <w:r>
        <w:rPr>
          <w:rFonts w:ascii="Arial" w:eastAsia="Microsoft YaHei"/>
        </w:rPr>
        <w:t xml:space="preserve"> because every participant in this cohort had objectively graded retinopathy (OPDURL4 levels present: mild 197, moderate 85, severe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Recent dilated exam (within 12 mo)</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0.30 (0.10–0.92)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0.27</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0.872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 vs female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1.09 (0.35–3.38)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0.876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 vs ≥HS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0.90 (0.26–3.07)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0.852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 vs White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1.90 (0.58–6.23)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 (per unit)</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1.49 (1.04–2.15)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0.033</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0.26</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Uninsured vs insured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0.72 (0.17–2.97)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0.625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Moderate NPDR (ref = </w:t>
            </w:r>
            <w:r>
              <w:rPr>
                <w:rFonts w:ascii="Arial" w:eastAsia="Microsoft YaHei"/>
                <w:b/>
                <w:bCs/>
              </w:rPr>
              <w:t xml:space="preserve">mild NPDR</w:t>
            </w:r>
            <w:r>
              <w:rPr>
                <w:rFonts w:ascii="Arial" w:eastAsia="Microsoft YaHei"/>
              </w:rPr>
              <w:t xml:space="preserv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0.43 (0.15–1.21)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0.102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0.61</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Severe-or-proliferative retinopathy (ref = </w:t>
            </w:r>
            <w:r>
              <w:rPr>
                <w:rFonts w:ascii="Arial" w:eastAsia="Microsoft YaHei"/>
                <w:b/>
                <w:bCs/>
              </w:rPr>
              <w:t xml:space="preserve">mild NPDR</w:t>
            </w:r>
            <w:r>
              <w:rPr>
                <w:rFonts w:ascii="Arial" w:eastAsia="Microsoft YaHei"/>
              </w:rPr>
              <w:t xml:space="preserv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0.05 (0.01–0.24)</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0.0011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0.010</w:t>
            </w:r>
          </w:p>
        </w:tc>
      </w:tr>
    </w:tbl>
    <w:p>
      <w:r>
        <w:t xml:space="preserve"/>
      </w:r>
    </w:p>
    <w:p>
      <w:pPr>
        <w:spacing w:after="120" w:line="360" w:lineRule="auto"/>
        <w:ind w:firstLine="480"/>
      </w:pPr>
      <w:r>
        <w:rPr>
          <w:rFonts w:ascii="Arial" w:eastAsia="Microsoft YaHei"/>
          <w:i/>
          <w:iCs/>
        </w:rPr>
        <w:t xml:space="preserve">This model is </w:t>
      </w:r>
      <w:r>
        <w:rPr>
          <w:rFonts w:ascii="Arial" w:eastAsia="Microsoft YaHei"/>
          <w:i/>
          <w:iCs/>
        </w:rPr>
        <w:t xml:space="preserve">exploratory</w:t>
      </w:r>
      <w:r>
        <w:rPr>
          <w:rFonts w:ascii="Arial" w:eastAsia="Microsoft YaHei"/>
          <w:i/>
          <w:iCs/>
        </w:rPr>
        <w:t xml:space="preserve">; intervals use the design-based t critical value on the model's residual degrees of freedom (df = 13), so each aOR, interval and P come from one quasi-binomial Wald t test. Only the severe-or-proliferative retinopathy category remained statistically significant after within-model Holm correction. Unadjusted, 82.0% (70.1–89.9) of adults not examined within 12 months (n = 106) reported no diabetic-eye diagnosis versus 64.5% (55.9–72.2) of those examined (n = 207). Model-adjusted (g-computation) predicted probability of no reported diagnosis: 81.8% without a recent examination vs 62.4% with one (−19.4 percentage points, descriptive point estimates; a design-based interval was not reliable given the sparse primary-stratum structure and is therefore not reported — see main-text Figure 3). Exploratory eye-care × moderate-or-worse interaction: aOR 1.61 (0.24–10.79), P = 0.59 — no evidence of effect modification.</w:t>
      </w:r>
    </w:p>
    <w:p>
      <w:pPr>
        <w:pStyle w:val="Heading3"/>
      </w:pPr>
      <w:r>
        <w:rPr>
          <w:rFonts w:ascii="Arial" w:eastAsia="Microsoft YaHei"/>
        </w:rPr>
        <w:t xml:space="preserve">Supplementary Table S4. Missing-data sensitivity for the DR cohort: complete-case, missing-indicator, reduced models, and multiple imputation</w:t>
      </w:r>
    </w:p>
    <w:p>
      <w:pPr>
        <w:spacing w:after="120" w:line="360" w:lineRule="auto"/>
        <w:ind w:firstLine="480"/>
      </w:pPr>
      <w:r>
        <w:rPr>
          <w:rFonts w:ascii="Arial" w:eastAsia="Microsoft YaHei"/>
          <w:b/>
          <w:bCs/>
        </w:rPr>
        <w:t xml:space="preserve">(a) Four handling strategies</w:t>
      </w:r>
      <w:r>
        <w:rPr>
          <w:rFonts w:ascii="Arial" w:eastAsia="Microsoft YaHei"/>
        </w:rPr>
        <w:t xml:space="preserve"> for the two high-missingness covariates (education, income). The complete-case column is the core model (n = 187, education and income required complete); the missing-indicator column retains all 313 responders by median-filling income (with an income-missingness flag) and assigning missing education the "HS-or-more" placeholder with an education-missingness flag; the reduced column drops education and keeps income (n = 283); the multiple-imputation column uses chained equations (m = 20) over outcome, demographics, severity, cycle, income and education, pooled with Rubin's rules within the survey design (n = 313).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Complete-case (n = 187) aOR (95% CI), Holm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Missing-indicator (n = 313) aOR (95% CI),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Reduced — drop education (n = 283) aOR (95% CI), P</w:t>
            </w:r>
          </w:p>
        </w:tc>
        <w:tc>
          <w:tcPr>
            <w:tcW w:type="dxa" w:w="180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Multiple imputation (m = 20, n = 313) aOR (95% CI), P</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(0.96–1.02),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 0.935</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(0.97–1.03), 0.842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(0.98–1.03), 0.776</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 vs female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1.29 (0.45–3.71),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0.93 (0.44–1.96), 0.832</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0.80 (0.36–1.75), 0.558</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0.99 (0.49–2.01), 0.987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 &lt;HS vs ≥HS</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0.67 (0.28–1.61),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0.86 (0.38–1.95), 0.711</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excluded by design</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0.76 (0.33–1.79), 0.527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Race non-White vs White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1.57 (0.49–5.07), 1.00</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1.27 (0.72–2.25), 0.397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1.18 (0.67–2.06), 0.553</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1.38 (0.82–2.34), 0.221</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Poverty-income ratio</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1.34 (0.92–1.96), 0.59</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1.48 (1.10–1.99), 0.013 (median-filled)</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1.46 (1.08–1.97), 0.017</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1.38 (1.02–1.87), 0.037</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Income-missing indicator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1.08 (0.33–3.56), 0.894</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Education-missing indicator</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0.70 (0.30–1.60), 0.375</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80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bl>
    <w:p>
      <w:r>
        <w:t xml:space="preserve"/>
      </w:r>
    </w:p>
    <w:p>
      <w:pPr>
        <w:spacing w:after="120" w:line="360" w:lineRule="auto"/>
        <w:ind w:firstLine="480"/>
      </w:pPr>
      <w:r>
        <w:rPr>
          <w:rFonts w:ascii="Arial" w:eastAsia="Microsoft YaHei"/>
          <w:i/>
          <w:iCs/>
        </w:rPr>
        <w:t xml:space="preserve">The income point estimate is above 1 in every specification (1.34–1.48), so the </w:t>
      </w:r>
      <w:r>
        <w:rPr>
          <w:rFonts w:ascii="Arial" w:eastAsia="Microsoft YaHei"/>
          <w:i/>
          <w:iCs/>
        </w:rPr>
        <w:t xml:space="preserve">direction is stable</w:t>
      </w:r>
      <w:r>
        <w:rPr>
          <w:rFonts w:ascii="Arial" w:eastAsia="Microsoft YaHei"/>
          <w:i/>
          <w:iCs/>
        </w:rPr>
        <w:t xml:space="preserve">, but its precision depends on missing-data handling: non-significant in the complete-case core model, nominally significant when education is dropped (1.46, P = 0.017), under multiple imputation (1.38, P = 0.037) and in the median-filled missing-indicator model (1.48, P = 0.013). Higher income is therefore treated as a tentative correlate with imprecise magnitude, not an established driver. Neither missingness indicator showed a statistically detectable association with the outcome in this model; however, these results do not establish that the missingness mechanism is ignorable, and multiple imputation does not reproduce the finite-population design variance, so its inference is a sensitivity check. Attrition: model entrants (n = 187) vs excluded (n = 126) were similar on the outcome (66.8% vs 68.3% with no reported diagnosis) and differed mainly in age (mean 65.2 vs 61.6 years).</w:t>
      </w:r>
    </w:p>
    <w:p>
      <w:pPr>
        <w:spacing w:after="120" w:line="360" w:lineRule="auto"/>
        <w:ind w:firstLine="480"/>
      </w:pPr>
      <w:r>
        <w:rPr>
          <w:rFonts w:ascii="Arial" w:eastAsia="Microsoft YaHei"/>
          <w:b/>
          <w:bCs/>
        </w:rPr>
        <w:t xml:space="preserve">(b) Imputation diagnostics (DR responders, n = 313).</w:t>
      </w:r>
      <w:r>
        <w:rPr>
          <w:rFonts w:ascii="Arial" w:eastAsia="Microsoft YaHei"/>
        </w:rPr>
        <w:t xml:space="preserve"> Missingness among responders: education 32.6%, income 9.6%; all other imputation variables (outcome, age, sex, race, insurance, severity, cycle) had 0% missing. The income aOR was above 1 in each of the 20 imputations (pooled 1.388, per-imputation range 1.24–1.49, between-imputation SD 0.048; age 1.00, sex 0.99, education 0.76, race 1.39 pooled; ranges in </w:t>
      </w:r>
      <w:r>
        <w:rPr>
          <w:rFonts w:ascii="Consolas" w:cs="Consolas" w:eastAsia="Consolas" w:hAnsi="Consolas"/>
        </w:rPr>
        <w:t xml:space="preserve">numbers_v7.csv</w:t>
      </w:r>
      <w:r>
        <w:rPr>
          <w:rFonts w:ascii="Arial" w:eastAsia="Microsoft YaHei"/>
        </w:rPr>
        <w:t xml:space="preserve">, keys </w:t>
      </w:r>
      <w:r>
        <w:rPr>
          <w:rFonts w:ascii="Consolas" w:cs="Consolas" w:eastAsia="Consolas" w:hAnsi="Consolas"/>
        </w:rPr>
        <w:t xml:space="preserve">mimi|*</w:t>
      </w:r>
      <w:r>
        <w:rPr>
          <w:rFonts w:ascii="Arial" w:eastAsia="Microsoft YaHei"/>
        </w:rPr>
        <w:t xml:space="preserve">). These 20 values are </w:t>
      </w:r>
      <w:r>
        <w:rPr>
          <w:rFonts w:ascii="Arial" w:eastAsia="Microsoft YaHei"/>
          <w:b/>
          <w:bCs/>
        </w:rPr>
        <w:t xml:space="preserve">not 20 independent replications</w:t>
      </w:r>
      <w:r>
        <w:rPr>
          <w:rFonts w:ascii="Arial" w:eastAsia="Microsoft YaHei"/>
        </w:rPr>
        <w:t xml:space="preserve"> — they share the same observed data and the same imputation model and assumptions, so the tight range reflects within-imputation variability under one set of MAR-style assumptions rather than external confirmation of the income estimate. Conventional convergence diagnostics (trace plots, potential-scale-reduction, fraction-of-missing-information) were not generated for this single-model pooled analysis; the per-imputation spread reported here is therefore a limited stability check only, and the pooled inference remains a sensitivity analysis (multiple imputation does not reproduce the finite-population survey-design variance).</w:t>
      </w:r>
    </w:p>
    <w:p>
      <w:pPr>
        <w:spacing w:after="120" w:line="360" w:lineRule="auto"/>
        <w:ind w:firstLine="480"/>
      </w:pPr>
      <w:r>
        <w:rPr>
          <w:rFonts w:ascii="Arial" w:eastAsia="Microsoft YaHei"/>
          <w:b/>
          <w:bCs/>
        </w:rPr>
        <w:t xml:space="preserve">(c) Missingness-mechanism models (descriptive).</w:t>
      </w:r>
      <w:r>
        <w:rPr>
          <w:rFonts w:ascii="Arial" w:eastAsia="Microsoft YaHei"/>
        </w:rPr>
        <w:t xml:space="preserve"> Logistic models of whether education (resp. income) is missing on age, sex, race, diabetes, insurance, the outcome and cycle. Education-missingness was associated with younger age (OR 0.94/yr, P &lt; 0.001) and insurance status (P &lt; 0.001) but </w:t>
      </w:r>
      <w:r>
        <w:rPr>
          <w:rFonts w:ascii="Arial" w:eastAsia="Microsoft YaHei"/>
          <w:b/>
          <w:bCs/>
        </w:rPr>
        <w:t xml:space="preserve">not</w:t>
      </w:r>
      <w:r>
        <w:rPr>
          <w:rFonts w:ascii="Arial" w:eastAsia="Microsoft YaHei"/>
        </w:rPr>
        <w:t xml:space="preserve"> with the outcome (OR 0.995, P = 0.99). Income-missingness was associated with race/ethnicity (non-White OR 4.11, P = 0.011) but </w:t>
      </w:r>
      <w:r>
        <w:rPr>
          <w:rFonts w:ascii="Arial" w:eastAsia="Microsoft YaHei"/>
          <w:b/>
          <w:bCs/>
        </w:rPr>
        <w:t xml:space="preserve">not</w:t>
      </w:r>
      <w:r>
        <w:rPr>
          <w:rFonts w:ascii="Arial" w:eastAsia="Microsoft YaHei"/>
        </w:rPr>
        <w:t xml:space="preserve"> with the outcome (OR 1.21, P = 0.73). Missingness was thus associated with several observed participant characteristics, supporting their inclusion in the imputation and sensitivity analyses; neither missingness model identified a statistically detectable association with the diagnosis-discordance outcome. </w:t>
      </w:r>
      <w:r>
        <w:rPr>
          <w:rFonts w:ascii="Arial" w:eastAsia="Microsoft YaHei"/>
          <w:b/>
          <w:bCs/>
        </w:rPr>
        <w:t xml:space="preserve">However, these findings do not establish a missing-at-random mechanism and cannot exclude bias due to unobserved factors</w:t>
      </w:r>
      <w:r>
        <w:rPr>
          <w:rFonts w:ascii="Arial" w:eastAsia="Microsoft YaHei"/>
        </w:rPr>
        <w:t xml:space="preserve"> — the absence of a detectable outcome association in models of this size is not evidence that MAR holds. A further reduced model dropping </w:t>
      </w:r>
      <w:r>
        <w:rPr>
          <w:rFonts w:ascii="Arial" w:eastAsia="Microsoft YaHei"/>
          <w:b/>
          <w:bCs/>
        </w:rPr>
        <w:t xml:space="preserve">both</w:t>
      </w:r>
      <w:r>
        <w:rPr>
          <w:rFonts w:ascii="Arial" w:eastAsia="Microsoft YaHei"/>
        </w:rPr>
        <w:t xml:space="preserve"> education and income (retaining all 313 responders) left only age, sex and race, none associated with the outcome (age aOR 0.99, sex 1.11, race 1.05; all P &gt; 0.5). This reduced model was fitted only to describe associations with the remaining demographic covariates in the full responder sample; </w:t>
      </w:r>
      <w:r>
        <w:rPr>
          <w:rFonts w:ascii="Arial" w:eastAsia="Microsoft YaHei"/>
          <w:b/>
          <w:bCs/>
        </w:rPr>
        <w:t xml:space="preserve">because it excludes income, it does not test — and is not interpreted as evidence for — the consistency of the income association reported above.</w:t>
      </w:r>
    </w:p>
    <w:p>
      <w:pPr>
        <w:pStyle w:val="Heading3"/>
      </w:pPr>
      <w:r>
        <w:rPr>
          <w:rFonts w:ascii="Arial" w:eastAsia="Microsoft YaHei"/>
        </w:rPr>
        <w:t xml:space="preserve">Supplementary Table S5. Grading feasibility: gradable vs ungradable comparison and inverse-probability-weighted prevalence</w:t>
      </w:r>
    </w:p>
    <w:p>
      <w:pPr>
        <w:spacing w:after="120" w:line="360" w:lineRule="auto"/>
        <w:ind w:firstLine="480"/>
      </w:pPr>
      <w:r>
        <w:rPr>
          <w:rFonts w:ascii="Arial" w:eastAsia="Microsoft YaHei"/>
          <w:b/>
          <w:bCs/>
        </w:rPr>
        <w:t xml:space="preserve">(a) Observable characteristics of gradable vs ungradable images (person-level, examined ≥40).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Group</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Mean age</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Male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Diabetes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Non-White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Insured %</w:t>
            </w:r>
          </w:p>
        </w:tc>
        <w:tc>
          <w:tcPr>
            <w:tcW w:type="dxa" w:w="112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Education &lt;HS %</w:t>
            </w:r>
          </w:p>
        </w:tc>
      </w:tr>
      <w:tr>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Gradable (retinopathy)</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5,704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59.6</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50.1</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15.9</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46.4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83.7</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14.4</w:t>
            </w:r>
          </w:p>
        </w:tc>
      </w:tr>
      <w:tr>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1,093</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64.5</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47.3</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55.4</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86.2</w:t>
            </w:r>
          </w:p>
        </w:tc>
        <w:tc>
          <w:tcPr>
            <w:tcW w:type="dxa" w:w="112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23.2</w:t>
            </w:r>
          </w:p>
        </w:tc>
      </w:tr>
    </w:tbl>
    <w:p>
      <w:r>
        <w:t xml:space="preserve"/>
      </w:r>
    </w:p>
    <w:p>
      <w:pPr>
        <w:spacing w:after="120" w:line="360" w:lineRule="auto"/>
        <w:ind w:firstLine="480"/>
      </w:pPr>
      <w:r>
        <w:rPr>
          <w:rFonts w:ascii="Arial" w:eastAsia="Microsoft YaHei"/>
          <w:i/>
          <w:iCs/>
        </w:rPr>
        <w:t xml:space="preserve">Ungradable-image participants were older, more often diabetic and less often high-school-educated, a plausible signal that images failed more often in higher-risk eyes.</w:t>
      </w:r>
    </w:p>
    <w:p>
      <w:pPr>
        <w:spacing w:after="120" w:line="360" w:lineRule="auto"/>
        <w:ind w:firstLine="480"/>
      </w:pPr>
      <w:r>
        <w:rPr>
          <w:rFonts w:ascii="Arial" w:eastAsia="Microsoft YaHei"/>
          <w:b/>
          <w:bCs/>
        </w:rPr>
        <w:t xml:space="preserve">(b) Naive vs inverse-probability-weighted (IPW) whole-population prevalence, and full weight decomposition.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Naive (gradable-only)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base model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extended model %</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(all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9.75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10.13</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AMD (all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6.58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6.87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6.77</w:t>
            </w:r>
          </w:p>
        </w:tc>
      </w:tr>
    </w:tbl>
    <w:p>
      <w:r>
        <w:t xml:space="preserve"/>
      </w:r>
    </w:p>
    <w:p>
      <w:pPr>
        <w:spacing w:after="120" w:line="360" w:lineRule="auto"/>
        <w:ind w:firstLine="480"/>
      </w:pPr>
      <w:r>
        <w:rPr>
          <w:rFonts w:ascii="Arial" w:eastAsia="Microsoft YaHei"/>
        </w:rPr>
        <w:t xml:space="preserve">The weight diagnostics below separate the three distinct quantities that were previously conflated under a single "Weight" label. The very large values are the </w:t>
      </w:r>
      <w:r>
        <w:rPr>
          <w:rFonts w:ascii="Arial" w:eastAsia="Microsoft YaHei"/>
          <w:b/>
          <w:bCs/>
        </w:rPr>
        <w:t xml:space="preserve">combined survey weight</w:t>
      </w:r>
      <w:r>
        <w:rPr>
          <w:rFonts w:ascii="Arial" w:eastAsia="Microsoft YaHei"/>
        </w:rPr>
        <w:t xml:space="preserve"> (baseline MEC weight × inverse-probability factor), </w:t>
      </w:r>
      <w:r>
        <w:rPr>
          <w:rFonts w:ascii="Arial" w:eastAsia="Microsoft YaHei"/>
          <w:b/>
          <w:bCs/>
        </w:rPr>
        <w:t xml:space="preserve">not</w:t>
      </w:r>
      <w:r>
        <w:rPr>
          <w:rFonts w:ascii="Arial" w:eastAsia="Microsoft YaHei"/>
        </w:rPr>
        <w:t xml:space="preserve"> the inverse-probability factor itself, which is modest.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 (over the 5,704 gradable respondents)</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Base model (age, sex, race)</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Extended model (+ diabetes, insurance, education)</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Gradability probability P (min /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0.637 / 0.849 / 0.938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0.569 / 0.915 / 1.000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Observations truncated by the 0.05 probability floor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Inverse-probability factor 1/P (min /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1.07 / 1.18 / 1.57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1.00 / 1.09 / 1.76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Combined survey weight (median / max)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16,566 / 110,456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15,545 / 115,872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Kish effective sample size of the combined weights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3,656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3,635</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Kish effective sample size of the raw (un-IPW'd) weights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3,508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3,508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Complete-case rows used to </w:t>
            </w:r>
            <w:r>
              <w:rPr>
                <w:rFonts w:ascii="Arial" w:eastAsia="Microsoft YaHei"/>
                <w:i/>
                <w:iCs/>
              </w:rPr>
              <w:t xml:space="preserve">fit</w:t>
            </w:r>
            <w:r>
              <w:rPr>
                <w:rFonts w:ascii="Arial" w:eastAsia="Microsoft YaHei"/>
              </w:rPr>
              <w:t xml:space="preserve"> the gradability model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6,797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3,687</w:t>
            </w:r>
          </w:p>
        </w:tc>
      </w:tr>
    </w:tbl>
    <w:p>
      <w:r>
        <w:t xml:space="preserve"/>
      </w:r>
    </w:p>
    <w:p>
      <w:pPr>
        <w:spacing w:after="120" w:line="360" w:lineRule="auto"/>
        <w:ind w:firstLine="480"/>
      </w:pPr>
      <w:r>
        <w:rPr>
          <w:rFonts w:ascii="Arial" w:eastAsia="Microsoft YaHei"/>
          <w:i/>
          <w:iCs/>
        </w:rPr>
        <w:t xml:space="preserve">Probabilities of a gradable image were modelled with a base specification (age, sex, race/ethnicity) and an extended specification adding diabetes, insurance and education; gradable respondents were reweighted by their inverse predicted probability, with a probability floor of 0.05 to bound extreme weights. Because the smallest predicted gradability probability was 0.637 (base) and 0.569 (extended), the 0.05 floor was </w:t>
      </w:r>
      <w:r>
        <w:rPr>
          <w:rFonts w:ascii="Arial" w:eastAsia="Microsoft YaHei"/>
          <w:i/>
          <w:iCs/>
        </w:rPr>
        <w:t xml:space="preserve">never binding</w:t>
      </w:r>
      <w:r>
        <w:rPr>
          <w:rFonts w:ascii="Arial" w:eastAsia="Microsoft YaHei"/>
          <w:i/>
          <w:iCs/>
        </w:rPr>
        <w:t xml:space="preserve"> — no observation was truncated — so the reported IPW estimates are unaffected by the truncation rule. The extended model, which adds education and insurance, could only be fitted on the 3,687 respondents with complete covariates (vs 6,797 for the base model); gradable respondents with missing extended covariates were assigned P = 1 (no up-weighting), so the extended model reweights a subset and thus targets a slightly different effective population than the base model. The large numbers under "combined survey weight" are the baseline NHANES MEC weight multiplied by the 1/P factor and should not be read as the inverse-probability factor. ESS was computed as the Kish effective sample size, (Σw)²/Σw², over the combined weights of the 5,704 gradable respondents.</w:t>
      </w:r>
    </w:p>
    <w:p>
      <w:pPr>
        <w:spacing w:after="120" w:line="360" w:lineRule="auto"/>
        <w:ind w:firstLine="480"/>
      </w:pPr>
      <w:r>
        <w:rPr>
          <w:rFonts w:ascii="Arial" w:eastAsia="Microsoft YaHei"/>
          <w:i/>
          <w:iCs/>
        </w:rPr>
        <w:t xml:space="preserve">Across both specifications IPW prevalence moved from the naive value by ≤0.6 percentage points, indicating that observable gradable-vs-ungradable differences do not materially bias the descriptive prevalence. The combined-weight ESS (≈3,635–3,656) is close to the raw-weight ESS (≈3,508), which suggests the reweighting did not concentrate the sample into a small handful of observations. </w:t>
      </w:r>
      <w:r>
        <w:rPr>
          <w:rFonts w:ascii="Arial" w:eastAsia="Microsoft YaHei"/>
          <w:i/>
          <w:iCs/>
        </w:rPr>
        <w:t xml:space="preserve">This closeness is a limited stability check only, not proof of weight stability</w:t>
      </w:r>
      <w:r>
        <w:rPr>
          <w:rFonts w:ascii="Arial" w:eastAsia="Microsoft YaHei"/>
          <w:i/>
          <w:iCs/>
        </w:rPr>
        <w:t xml:space="preserve">: a near-unchanged aggregate ESS can coexist with a long weight tail, and it says nothing about selection on unobserved factors. IPW corrects only for observable differences; unobservable sources of grading selection remain possible.</w:t>
      </w:r>
    </w:p>
    <w:p>
      <w:pPr>
        <w:spacing w:after="120" w:line="360" w:lineRule="auto"/>
        <w:ind w:firstLine="480"/>
      </w:pPr>
      <w:r>
        <w:rPr>
          <w:rFonts w:ascii="Arial" w:eastAsia="Microsoft YaHei"/>
          <w:b/>
          <w:bCs/>
        </w:rPr>
        <w:t xml:space="preserve">(c) Discordance-specific selection sensitivity (does the gap itself depend on gradability weighting?).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Outcome</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Responders, standard weights</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IPW for gradability (extended model)</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diagnosis gap</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(63.8–75.9)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(64.1–75.6)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diagnosis gap</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82.0 (77.1–86.0)</w:t>
            </w:r>
          </w:p>
        </w:tc>
      </w:tr>
    </w:tbl>
    <w:p>
      <w:r>
        <w:t xml:space="preserve"/>
      </w:r>
    </w:p>
    <w:p>
      <w:pPr>
        <w:spacing w:after="120" w:line="360" w:lineRule="auto"/>
        <w:ind w:firstLine="480"/>
      </w:pPr>
      <w:r>
        <w:rPr>
          <w:rFonts w:ascii="Arial" w:eastAsia="Microsoft YaHei"/>
          <w:i/>
          <w:iCs/>
        </w:rPr>
        <w:t xml:space="preserve">Because prevalence-level IPW does not by itself demonstrate that the discordance proportions are unaffected by grading feasibility, we reweighted the DR and AMD responder sets directly by 1/P(gradable) and re-estimated the diagnosis gap. Both gaps were essentially unchanged (DR 70.2→70.2; AMD 82.2→82.0), indicating the headline discordance estimates move little under observable grading-feasibility reweighting; this still cannot exclude unmeasured selection among people whose images could not be graded.</w:t>
      </w:r>
    </w:p>
    <w:p>
      <w:pPr>
        <w:pStyle w:val="Heading3"/>
      </w:pPr>
      <w:r>
        <w:rPr>
          <w:rFonts w:ascii="Arial" w:eastAsia="Microsoft YaHei"/>
        </w:rPr>
        <w:t xml:space="preserve">Supplementary Table S6. NHIS 2016 benchmark: self-reported eye disease, eye-care use, direct age-standardisation and denominator trace</w:t>
      </w:r>
    </w:p>
    <w:p>
      <w:pPr>
        <w:spacing w:after="120" w:line="360" w:lineRule="auto"/>
        <w:ind w:firstLine="480"/>
      </w:pPr>
      <w:r>
        <w:rPr>
          <w:rFonts w:ascii="Arial" w:eastAsia="Microsoft YaHei"/>
          <w:b/>
          <w:bCs/>
        </w:rPr>
        <w:t xml:space="preserve">(a) NHIS 2016 self-reported eye disease and eye-care utilisation (US adults ≥40).</w:t>
      </w:r>
      <w:r>
        <w:rPr>
          <w:rFonts w:ascii="Arial" w:eastAsia="Microsoft YaHei"/>
        </w:rPr>
        <w:t xml:space="preserve"> This is the cross-survey benchmark referenced in the main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 (NHIS 2016, adults ≥40)</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Weighted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Diabetic retinopathy (ever told)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22,330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1.27 (1.09–1.46)</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Macular degeneration (ever told)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22,310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2.66 (2.40–2.91)</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Saw eye doctor within 12 months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22,112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48.71 (47.69–49.72)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Dilated eye exam within 12 months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22,142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49.93 (48.87–51.00)</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Dilated eye exam within 12 months, among adults with diabetes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3,261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67.73 (65.59–69.88)</w:t>
            </w:r>
          </w:p>
        </w:tc>
      </w:tr>
    </w:tbl>
    <w:p>
      <w:r>
        <w:t xml:space="preserve"/>
      </w:r>
    </w:p>
    <w:p>
      <w:pPr>
        <w:spacing w:after="120" w:line="360" w:lineRule="auto"/>
        <w:ind w:firstLine="480"/>
      </w:pPr>
      <w:r>
        <w:rPr>
          <w:rFonts w:ascii="Arial" w:eastAsia="Microsoft YaHei"/>
          <w:i/>
          <w:iCs/>
        </w:rPr>
        <w:t xml:space="preserve">Denominator trace for the 1.27% diabetic-eye figure: NHIS 2016 asks the "ever told by a doctor that diabetes affected the eyes" item (VIM_DREV) of ALL Sample Adult respondents without a diabetes branch screener, in contrast to NHANES DIQ080, which is asked only of participants who first report diabetes. The 1.27% weighted prevalence is therefore a whole-adult ≥40 self-reported prevalence (unweighted denominator n = 22,330), not a rate restricted to NHIS diabetics. A diabetes-restricted analogue (weighted 8.18% among NHIS 40+ adults with diagnosed diabetes) is documented in `results/sr_nhis_dr_denom_trace_v10.csv` and is not interchangeable with the value shown here.</w:t>
      </w:r>
    </w:p>
    <w:p>
      <w:pPr>
        <w:spacing w:after="120" w:line="360" w:lineRule="auto"/>
        <w:ind w:firstLine="480"/>
      </w:pPr>
      <w:r>
        <w:rPr>
          <w:rFonts w:ascii="Arial" w:eastAsia="Microsoft YaHei"/>
          <w:b/>
          <w:bCs/>
        </w:rPr>
        <w:t xml:space="preserve">(b) Direct age-standardisation of the NHIS self-reported macular-degeneration proportion to the NHANES 40+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Age band</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NHIS weighted rate (%)</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Standard-population weight (NHANES)</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40–49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0.47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0.3358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0.2894</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60–69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0.1832</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70–79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5.26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0.1207</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12.71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0.0709</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Crude weighted (≥40)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2.66 (2.40–2.91)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Directly age-standardised (design covariance)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b/>
                <w:bCs/>
              </w:rPr>
              <w:t xml:space="preserve">2.45 (2.22–2.69)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r>
    </w:tbl>
    <w:p>
      <w:r>
        <w:t xml:space="preserve"/>
      </w:r>
    </w:p>
    <w:p>
      <w:pPr>
        <w:spacing w:after="120" w:line="360" w:lineRule="auto"/>
        <w:ind w:firstLine="480"/>
      </w:pPr>
      <w:r>
        <w:rPr>
          <w:rFonts w:ascii="Arial" w:eastAsia="Microsoft YaHei"/>
          <w:i/>
          <w:iCs/>
        </w:rPr>
        <w:t xml:space="preserve">Standard weights are the survey-weighted NHANES 2005–2008 distribution of adults ≥40 across the five bands. The 80+ band is age ≥80; because NHANES top-codes age at 85, this band contains ages 80–84 plus the 85+ top-coded group. The standardised estimate is a weighted mean of band-specific rates, Σ(rate_b·w_b)/Σ(w_b). Its confidence interval is obtained from the </w:t>
      </w:r>
      <w:r>
        <w:rPr>
          <w:rFonts w:ascii="Arial" w:eastAsia="Microsoft YaHei"/>
          <w:i/>
          <w:iCs/>
        </w:rPr>
        <w:t xml:space="preserve">full design-based covariance between the age-band estimates</w:t>
      </w:r>
      <w:r>
        <w:rPr>
          <w:rFonts w:ascii="Arial" w:eastAsia="Microsoft YaHei"/>
          <w:i/>
          <w:iCs/>
        </w:rPr>
        <w:t xml:space="preserve"> (panel c) rather than treating bands as independent strata; this widens the interval slightly (from 2.23–2.68 under the independence assumption to 2.22–2.69). The age-standardised NHIS proportion (2.45%) is lower than the crude (2.66%) because the NHANES 40+ population is somewhat younger than NHIS's; the objectively graded AMD prevalence (6.58%) exceeds both.</w:t>
      </w:r>
    </w:p>
    <w:p>
      <w:pPr>
        <w:spacing w:after="120" w:line="360" w:lineRule="auto"/>
        <w:ind w:firstLine="480"/>
      </w:pPr>
      <w:r>
        <w:rPr>
          <w:rFonts w:ascii="Arial" w:eastAsia="Microsoft YaHei"/>
          <w:b/>
          <w:bCs/>
        </w:rPr>
        <w:t xml:space="preserve">(c) Standardisation with full design covariance and an age-and-sex 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Quantity</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Estimate (%)</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Method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crude weighted (≥40)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2.66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2.40–2.91</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design-based mean of self-reported macular degeneration</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age-standardised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2.22–2.69</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reweighting identity; full design covariance; standard weights fixed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NHIS age-and-sex-standardised</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2.22–2.70</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ten age×sex cells; joint NHANES weights; same method</w:t>
            </w:r>
          </w:p>
        </w:tc>
      </w:tr>
    </w:tbl>
    <w:p>
      <w:r>
        <w:t xml:space="preserve"/>
      </w:r>
    </w:p>
    <w:p>
      <w:pPr>
        <w:spacing w:after="120" w:line="360" w:lineRule="auto"/>
        <w:ind w:firstLine="480"/>
      </w:pPr>
      <w:r>
        <w:rPr>
          <w:rFonts w:ascii="Arial" w:eastAsia="Microsoft YaHei"/>
          <w:i/>
          <w:iCs/>
        </w:rPr>
        <w:t xml:space="preserve">Direct standardisation was implemented through a reweighting identity: each NHIS respondent's weight was rescaled by the ratio of the target (NHANES) band or cell share to the realised weighted respondent total in that band/cell, so that a single design-based `svymean` reproduces the standardised rate and carries the covariance between domains automatically. The standard-population weights are treated as fixed, so each interval is </w:t>
      </w:r>
      <w:r>
        <w:rPr>
          <w:rFonts w:ascii="Arial" w:eastAsia="Microsoft YaHei"/>
          <w:i/>
          <w:iCs/>
        </w:rPr>
        <w:t xml:space="preserve">conditional on the chosen NHANES-derived weights</w:t>
      </w:r>
      <w:r>
        <w:rPr>
          <w:rFonts w:ascii="Arial" w:eastAsia="Microsoft YaHei"/>
          <w:i/>
          <w:iCs/>
        </w:rPr>
        <w:t xml:space="preserve">; we did not additionally propagate the sampling uncertainty of the standard weights themselves. The age-and-sex result (2.46%) is essentially identical to age-only (2.45%), so sex composition does not materially affect the benchmark. Because NHANES (2005–2008 imaging) and NHIS (2016 self-report) differ in year and instrument, the gap between 6.58% and ~2.45% cannot be attributed solely to under-diagnosis.</w:t>
      </w:r>
    </w:p>
    <w:p>
      <w:pPr>
        <w:spacing w:after="120" w:line="360" w:lineRule="auto"/>
        <w:ind w:firstLine="480"/>
      </w:pPr>
      <w:r>
        <w:rPr>
          <w:rFonts w:ascii="Arial" w:eastAsia="Microsoft YaHei"/>
          <w:b/>
          <w:bCs/>
        </w:rPr>
        <w:t xml:space="preserve">(d) Additional NHIS 2016 self-reported eye disease (outside the objective-versus-reported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Measure (NHIS 2016, adults ≥40)</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Weighted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Glaucoma (ever told)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22,332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3.97 (3.66–4.28)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Cataract (ever told you have cataract)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22,343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21.17 (20.37–21.96)</w:t>
            </w:r>
          </w:p>
        </w:tc>
      </w:tr>
    </w:tbl>
    <w:p>
      <w:r>
        <w:t xml:space="preserve"/>
      </w:r>
    </w:p>
    <w:p>
      <w:pPr>
        <w:spacing w:after="120" w:line="360" w:lineRule="auto"/>
        <w:ind w:firstLine="480"/>
      </w:pPr>
      <w:r>
        <w:rPr>
          <w:rFonts w:ascii="Arial" w:eastAsia="Microsoft YaHei"/>
          <w:i/>
          <w:iCs/>
        </w:rPr>
        <w:t xml:space="preserve">Note on construct mismatch:</w:t>
      </w:r>
      <w:r>
        <w:rPr>
          <w:rFonts w:ascii="Arial" w:eastAsia="Microsoft YaHei"/>
        </w:rPr>
        <w:t xml:space="preserve"> the NHIS cataract item records whether a person was </w:t>
      </w:r>
      <w:r>
        <w:rPr>
          <w:rFonts w:ascii="Arial" w:eastAsia="Microsoft YaHei"/>
          <w:i/>
          <w:iCs/>
        </w:rPr>
        <w:t xml:space="preserve">ever told they had cataract</w:t>
      </w:r>
      <w:r>
        <w:rPr>
          <w:rFonts w:ascii="Arial" w:eastAsia="Microsoft YaHei"/>
        </w:rPr>
        <w:t xml:space="preserve">, whereas the NHANES cataract figure (Supplementary Table S1d) is </w:t>
      </w:r>
      <w:r>
        <w:rPr>
          <w:rFonts w:ascii="Arial" w:eastAsia="Microsoft YaHei"/>
          <w:i/>
          <w:iCs/>
        </w:rPr>
        <w:t xml:space="preserve">cataract-surgery history</w:t>
      </w:r>
      <w:r>
        <w:rPr>
          <w:rFonts w:ascii="Arial" w:eastAsia="Microsoft YaHei"/>
        </w:rPr>
        <w:t xml:space="preserve"> (</w:t>
      </w:r>
      <w:r>
        <w:rPr>
          <w:rFonts w:ascii="Consolas" w:cs="Consolas" w:eastAsia="Consolas" w:hAnsi="Consolas"/>
        </w:rPr>
        <w:t xml:space="preserve">VIQ071</w:t>
      </w:r>
      <w:r>
        <w:rPr>
          <w:rFonts w:ascii="Arial" w:eastAsia="Microsoft YaHei"/>
        </w:rPr>
        <w:t xml:space="preserve">). These are different endpoints and are deliberately not placed side by side. No NHANES glaucoma-imaging analogue exists (glaucoma is not graded in the retinal photographs), so NHIS glaucoma is presented here without an objective comparator.</w:t>
      </w:r>
    </w:p>
    <w:p>
      <w:pPr>
        <w:pStyle w:val="Heading3"/>
      </w:pPr>
      <w:r>
        <w:rPr>
          <w:rFonts w:ascii="Arial" w:eastAsia="Microsoft YaHei"/>
        </w:rPr>
        <w:t xml:space="preserve">Supplementary Table S7. Is the AMD age gradient independent of disease severity?</w:t>
      </w:r>
    </w:p>
    <w:p>
      <w:pPr>
        <w:spacing w:after="120" w:line="360" w:lineRule="auto"/>
        <w:ind w:firstLine="480"/>
      </w:pPr>
      <w:r>
        <w:rPr>
          <w:rFonts w:ascii="Arial" w:eastAsia="Microsoft YaHei"/>
        </w:rPr>
        <w:t xml:space="preserve">The AMD diagnosis gap falls steeply with age (from ~99% in the youngest band to ~67% in the oldest). Because older participants also carry more late AMD, we tested whether the age gradient is simply a proxy for severity, using two complementary approaches (both at the model residual df from the same fitted objects as Table S3b).</w:t>
      </w:r>
    </w:p>
    <w:p>
      <w:pPr>
        <w:spacing w:after="120" w:line="360" w:lineRule="auto"/>
        <w:ind w:firstLine="480"/>
      </w:pPr>
      <w:r>
        <w:rPr>
          <w:rFonts w:ascii="Arial" w:eastAsia="Microsoft YaHei"/>
          <w:b/>
          <w:bCs/>
        </w:rPr>
        <w:t xml:space="preserve">(a) Age adjusted for AMD stage (logistic, no-reported-diagnosis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Term</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aOR (95% CI)</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Raw P</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Holm P</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 (per year)</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0.92 (0.89–0.95)</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7.9 × 10⁻⁶</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2.4 × 10⁻⁵</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 vs early stage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0.18 (0.08–0.37)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6.1 × 10⁻⁵</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1.2 × 10⁻⁴</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Male</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1.02 (0.52–1.98)</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0.96</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0.96</w:t>
            </w:r>
          </w:p>
        </w:tc>
      </w:tr>
    </w:tbl>
    <w:p>
      <w:r>
        <w:t xml:space="preserve"/>
      </w:r>
    </w:p>
    <w:p>
      <w:pPr>
        <w:spacing w:after="120" w:line="360" w:lineRule="auto"/>
        <w:ind w:firstLine="480"/>
      </w:pPr>
      <w:r>
        <w:rPr>
          <w:rFonts w:ascii="Arial" w:eastAsia="Microsoft YaHei"/>
          <w:i/>
          <w:iCs/>
        </w:rPr>
        <w:t xml:space="preserve">n = 436 AMD responders with a gradable stage; design df = 30, model rank = 4, residual df = 27, CI multiplier t(0.975, 27) = 2.052. Both age and stage retain strong, mutually independent effects: adjusting for severity barely changes the age term (0.93/yr unadjusted → 0.92/yr adjusted), and late stage is independently associated with a much lower gap.</w:t>
      </w:r>
    </w:p>
    <w:p>
      <w:pPr>
        <w:spacing w:after="120" w:line="360" w:lineRule="auto"/>
        <w:ind w:firstLine="480"/>
      </w:pPr>
      <w:r>
        <w:rPr>
          <w:rFonts w:ascii="Arial" w:eastAsia="Microsoft YaHei"/>
          <w:b/>
          <w:bCs/>
        </w:rPr>
        <w:t xml:space="preserve">(b) Age strata within early AMD only (severity held roughly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Stratum</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Unweighted n</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Gap % (95% CI)</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40–59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99.1 (95.6–99.8)</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60–69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92.4 (80.5–97.3)</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Early AMD, age 70+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221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78.4 (72.9–82.9)</w:t>
            </w:r>
          </w:p>
        </w:tc>
      </w:tr>
    </w:tbl>
    <w:p>
      <w:r>
        <w:t xml:space="preserve"/>
      </w:r>
    </w:p>
    <w:p>
      <w:pPr>
        <w:spacing w:after="120" w:line="360" w:lineRule="auto"/>
        <w:ind w:firstLine="480"/>
      </w:pPr>
      <w:r>
        <w:rPr>
          <w:rFonts w:ascii="Arial" w:eastAsia="Microsoft YaHei"/>
          <w:i/>
          <w:iCs/>
        </w:rPr>
        <w:t xml:space="preserve">Restricted to participants graded as early AMD, so the severity mix is approximately fixed across the age bands. The gap still falls monotonically with age (99.1% → 92.4% → 78.4%), i.e. even among people with the same (early) disease stage, older participants more often reported a prior diagnosis.</w:t>
      </w:r>
    </w:p>
    <w:p>
      <w:pPr>
        <w:spacing w:after="120" w:line="360" w:lineRule="auto"/>
        <w:ind w:firstLine="480"/>
      </w:pPr>
      <w:r>
        <w:rPr>
          <w:rFonts w:ascii="Arial" w:eastAsia="Microsoft YaHei"/>
          <w:i/>
          <w:iCs/>
        </w:rPr>
        <w:t xml:space="preserve">Together these show that the AMD age gradient is not an artefact of older people being more severely affected: it persists after adjusting for stage (a) and within a stage-restricted early-AMD sample (b). This is consistent with greater cumulative ophthalmic contact / diagnosis opportunity with advancing age, but the cross-sectional design cannot establish that ageing itself causes higher awareness.</w:t>
      </w:r>
    </w:p>
    <w:p>
      <w:pPr>
        <w:pStyle w:val="Heading3"/>
      </w:pPr>
      <w:r>
        <w:rPr>
          <w:rFonts w:ascii="Arial" w:eastAsia="Microsoft YaHei"/>
        </w:rPr>
        <w:t xml:space="preserve">Supplementary Table S8. Variable provenance (NHANES codes, official labels, valid values, analysis recoding)</w:t>
      </w:r>
    </w:p>
    <w:p>
      <w:pPr>
        <w:spacing w:after="120" w:line="360" w:lineRule="auto"/>
        <w:ind w:firstLine="480"/>
      </w:pPr>
      <w:r>
        <w:rPr>
          <w:rFonts w:ascii="Arial" w:eastAsia="Microsoft YaHei"/>
        </w:rPr>
        <w:t xml:space="preserve">Official variable labels below are taken verbatim from the NHANES public-use data files; valid-value distributions are counts in the examined ≥40 sample. Exact item wording for the self-report questions should be read from the corresponding NHANES questionnaire (Reference 13) — we reproduce the intent as coded in the data, not a paraphrased "verbatim" question, to avoid introducing wording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Variable</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Official label (from data file)</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Values used</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Analysis recoding</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Missing handling</w:t>
            </w:r>
          </w:p>
        </w:tc>
        <w:tc>
          <w:tcPr>
            <w:tcW w:type="dxa" w:w="150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Source file</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OPDUARMA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none (4,994) / 1 any (710) / ungradable NA (1,093)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any retinopathy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OPDURL4</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4-level retinopathy severity,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none (4,994) / 2 mild NPDR (573) / 3 moderate NPDR (106) / 4 severe-or-proliferative (31) / NA ungradable (1,093)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used as ordinal severity factor; </w:t>
            </w:r>
            <w:r>
              <w:rPr>
                <w:rFonts w:ascii="Arial" w:eastAsia="Microsoft YaHei"/>
                <w:b/>
                <w:bCs/>
              </w:rPr>
              <w:t xml:space="preserve">mild NPDR is the regression reference</w:t>
            </w:r>
            <w:r>
              <w:rPr>
                <w:rFonts w:ascii="Arial" w:eastAsia="Microsoft YaHei"/>
              </w:rPr>
              <w:t xml:space="preserve"> within the retinopathy cohort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OPDUARM</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Age-related maculopathy, 3 severity levels,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none (5,163) / 1 early (386) / 2 late (55) / NA ungradable (1,193)</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present = ≥1; late AMD = 2</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ungradable 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OPDUGA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Geographic atrophy,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(5,593) / 1 (32) / NA ungradable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late-AMD phenotype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OPDUEXU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Exudative (neovascular) AMD, worse eye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0 (5,622) / 1 (23) / NA ungradable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late-AMD phenotype (mutually exclusive with GA here)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OPH_UE (retinal)</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DIQ010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Doctor told you have diabetes (diagnosed diabetes)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(used to define diabetes)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diabetes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DIQ080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diabetes affected the eyes / retinopathy (asked only if DIQ010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 0 no / refused-DK/missing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diagnosis reported = 1; </w:t>
            </w:r>
            <w:r>
              <w:rPr>
                <w:rFonts w:ascii="Arial" w:eastAsia="Microsoft YaHei"/>
                <w:b/>
                <w:bCs/>
              </w:rPr>
              <w:t xml:space="preserve">responders-only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 non-responder,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DIQ360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Last time pupils dilated for eye exam (asked only if DIQ010 = 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&lt;1 mo / 1–12 mo / 13–24 mo / &gt;2 yr / never</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examined-within-12-mo = first two categories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 non-responder,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VIQ310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had macular degeneration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yes / 0 no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diagnosis reported = 1; responders-only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VIQ090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told had glaucoma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 0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VIQ071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Ever had cataract surgery</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1 / 0 / NA</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NA excluded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VIQ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HIQ011</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Health-care coverage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yes / no</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insured vs uninsured</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HIQ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HUQ030</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Usual source of care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categories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descriptive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HUQ</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WTMEC2YR</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2-year MEC examination weight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continuous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 2 when pooling cycles E+F</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DEMO</w:t>
            </w:r>
          </w:p>
        </w:tc>
      </w:tr>
      <w:tr>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SDMVSTRA</w:t>
            </w:r>
            <w:r>
              <w:rPr>
                <w:rFonts w:ascii="Arial" w:eastAsia="Microsoft YaHei"/>
              </w:rPr>
              <w:t xml:space="preserve">/</w:t>
            </w:r>
            <w:r>
              <w:rPr>
                <w:rFonts w:ascii="Consolas" w:cs="Consolas" w:eastAsia="Consolas" w:hAnsi="Consolas"/>
              </w:rPr>
              <w:t xml:space="preserve">SDMVPSU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Masked pseudo-stratum / pseudo-PSU</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integers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design identifiers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DEMO</w:t>
            </w:r>
          </w:p>
        </w:tc>
      </w:tr>
    </w:tbl>
    <w:p>
      <w:r>
        <w:t xml:space="preserve"/>
      </w:r>
    </w:p>
    <w:p>
      <w:pPr>
        <w:spacing w:after="120" w:line="360" w:lineRule="auto"/>
        <w:ind w:firstLine="480"/>
      </w:pPr>
      <w:r>
        <w:rPr>
          <w:rFonts w:ascii="Arial" w:eastAsia="Microsoft YaHei"/>
          <w:i/>
          <w:iCs/>
        </w:rPr>
        <w:t xml:space="preserve">All retinal outcomes are person-level </w:t>
      </w:r>
      <w:r>
        <w:rPr>
          <w:rFonts w:ascii="Arial" w:eastAsia="Microsoft YaHei"/>
          <w:i/>
          <w:iCs/>
        </w:rPr>
        <w:t xml:space="preserve">worse-eye</w:t>
      </w:r>
      <w:r>
        <w:rPr>
          <w:rFonts w:ascii="Arial" w:eastAsia="Microsoft YaHei"/>
          <w:i/>
          <w:iCs/>
        </w:rPr>
        <w:t xml:space="preserve"> variables (`OPDU</w:t>
      </w:r>
      <w:r>
        <w:rPr>
          <w:rFonts w:ascii="Arial" w:eastAsia="Microsoft YaHei"/>
        </w:rPr>
        <w:t xml:space="preserve">`); eye-level measurements are aggregated, never treated as independent samples. The self-report items are used as </w:t>
      </w:r>
      <w:r>
        <w:rPr>
          <w:rFonts w:ascii="Arial" w:eastAsia="Microsoft YaHei"/>
          <w:b/>
          <w:bCs/>
        </w:rPr>
        <w:t xml:space="preserve">patient-reported</w:t>
      </w:r>
      <w:r>
        <w:rPr>
          <w:rFonts w:ascii="Arial" w:eastAsia="Microsoft YaHei"/>
        </w:rPr>
        <w:t xml:space="preserve"> constructs. Valid-value counts are from the full examined ≥40 sample and thus differ from the disease-restricted analytic denominators in Table S1.*</w:t>
      </w:r>
    </w:p>
    <w:p>
      <w:pPr>
        <w:pStyle w:val="Heading3"/>
      </w:pPr>
      <w:r>
        <w:rPr>
          <w:rFonts w:ascii="Arial" w:eastAsia="Microsoft YaHei"/>
        </w:rPr>
        <w:t xml:space="preserve">Supplementary Table S9. Extreme-scenario non-response bounds (survey-weighted, not simple count arithmetic)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Cohort</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Responders-only (primary)</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If all non-responders were "diagnosed"</w:t>
            </w:r>
          </w:p>
        </w:tc>
        <w:tc>
          <w:tcPr>
            <w:tcW w:type="dxa" w:w="225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If all non-responders were "undiagnosed"</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DR (n = 319 base; 6 non-responders)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70.2 (63.8–75.9)</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69.2 (62.5–75.2)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70.6 (64.4–76.1)</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AMD (n = 441 base; 5 non-responders)</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82.2 (77.3–86.2)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81.6 (76.7–85.7)</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82.3 (77.5–86.3)</w:t>
            </w:r>
          </w:p>
        </w:tc>
      </w:tr>
    </w:tbl>
    <w:p>
      <w:r>
        <w:t xml:space="preserve"/>
      </w:r>
    </w:p>
    <w:p>
      <w:pPr>
        <w:spacing w:after="120" w:line="360" w:lineRule="auto"/>
        <w:ind w:firstLine="480"/>
      </w:pPr>
      <w:r>
        <w:rPr>
          <w:rFonts w:ascii="Arial" w:eastAsia="Microsoft YaHei"/>
          <w:i/>
          <w:iCs/>
        </w:rPr>
        <w:t xml:space="preserve">Bounds were recomputed with the full survey weights (not by adding/subtracting people from a percentage): non-responders were assigned y = 0 (all diagnosed) then y = 1 (all undiagnosed) and the weighted logit proportion re-estimated. The primary responders-only estimate lies within the bounds and the bound width is ~1–1.4 percentage points, so the headline gaps are not driven by the few diagnosis-item non-responders.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eastAsia="Microsoft YaHei"/>
      <w:b/>
      <w:bCs/>
      <w:color w:val="000000"/>
      <w:sz w:val="32"/>
      <w:szCs w:val="32"/>
    </w:rPr>
  </w:style>
  <w:style w:type="paragraph" w:styleId="Heading2">
    <w:name w:val="Heading 2"/>
    <w:basedOn w:val="Normal"/>
    <w:next w:val="Normal"/>
    <w:qFormat/>
    <w:pPr>
      <w:spacing w:after="180" w:before="180"/>
      <w:outlineLvl w:val="1"/>
    </w:pPr>
    <w:rPr>
      <w:rFonts w:ascii="Arial" w:eastAsia="Microsoft YaHei"/>
      <w:b/>
      <w:bCs/>
      <w:color w:val="000000"/>
      <w:sz w:val="28"/>
      <w:szCs w:val="28"/>
    </w:rPr>
  </w:style>
  <w:style w:type="paragraph" w:styleId="Heading3">
    <w:name w:val="Heading 3"/>
    <w:basedOn w:val="Normal"/>
    <w:next w:val="Normal"/>
    <w:qFormat/>
    <w:pPr>
      <w:spacing w:after="120" w:before="120"/>
      <w:outlineLvl w:val="2"/>
    </w:pPr>
    <w:rPr>
      <w:rFonts w:ascii="Arial" w:eastAsia="Microsoft YaHe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a4f72bccf807e58c40482dede4065207bd3298e.png"/><Relationship Id="rId8" Type="http://schemas.openxmlformats.org/officeDocument/2006/relationships/image" Target="media/38f67933625ee7674754ddaa7c8b79e31719cc3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2026-10-31T07:55:15.909Z</dcterms:created>
  <dcterms:modified xsi:type="dcterms:W3CDTF">2026-10-31T07:55:15.910Z</dcterms:modified>
</cp:coreProperties>
</file>

<file path=docProps/custom.xml><?xml version="1.0" encoding="utf-8"?>
<Properties xmlns="http://schemas.openxmlformats.org/officeDocument/2006/custom-properties" xmlns:vt="http://schemas.openxmlformats.org/officeDocument/2006/docPropsVTypes"/>
</file>