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Cover Letter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Dear Editors,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We submit our original research article, **"Objectively graded retinal disease, self-reported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diagnosis, and eye-care utilisation in US adults (NHANES 2005–2008)"**, for consideration by</w:t>
      </w:r>
    </w:p>
    <w:p>
      <w:pPr>
        <w:spacing w:after="120" w:line="360" w:lineRule="auto"/>
        <w:ind w:firstLine="480"/>
      </w:pPr>
      <w:r>
        <w:rPr>
          <w:rFonts w:ascii="Arial" w:eastAsia="Microsoft YaHei"/>
          <w:i/>
          <w:iCs/>
        </w:rPr>
        <w:t xml:space="preserve">Scientific Reports</w:t>
      </w:r>
      <w:r>
        <w:rPr>
          <w:rFonts w:ascii="Arial" w:eastAsia="Microsoft YaHei"/>
        </w:rPr>
        <w:t xml:space="preserve">.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What we did.</w:t>
      </w:r>
      <w:r>
        <w:rPr>
          <w:rFonts w:ascii="Arial" w:eastAsia="Microsoft YaHei"/>
        </w:rPr>
        <w:t xml:space="preserve"> Using NHANES 2005–2008 — a nationally representative resource that pairs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centrally graded retinal photographs with patient-reported diagnoses and diabetic eye-examination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history in the </w:t>
      </w:r>
      <w:r>
        <w:rPr>
          <w:rFonts w:ascii="Arial" w:eastAsia="Microsoft YaHei"/>
          <w:i/>
          <w:iCs/>
        </w:rPr>
        <w:t xml:space="preserve">same</w:t>
      </w:r>
      <w:r>
        <w:rPr>
          <w:rFonts w:ascii="Arial" w:eastAsia="Microsoft YaHei"/>
        </w:rPr>
        <w:t xml:space="preserve"> examined adults aged ≥40 (n = 6,797) — we measured, within individuals, the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concordance between objectively graded disease, patient-reported diagnosis, and eye-care utilisation.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The 2016 NHIS serves only as an auxiliary population-level benchmark, not a paired validation. We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used complex-survey inference throughout (design-weighted logit intervals, design-based </w:t>
      </w:r>
      <w:r>
        <w:rPr>
          <w:rFonts w:ascii="Arial" w:eastAsia="Microsoft YaHei"/>
          <w:b/>
          <w:bCs/>
        </w:rPr>
        <w:t xml:space="preserve">t</w:t>
      </w:r>
      <w:r>
        <w:rPr>
          <w:rFonts w:ascii="Arial" w:eastAsia="Microsoft YaHei"/>
        </w:rPr>
        <w:t xml:space="preserve"> for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regression inference at each model's residual degrees of freedom, </w:t>
      </w:r>
      <w:r>
        <w:rPr>
          <w:rFonts w:ascii="Consolas" w:cs="Consolas" w:eastAsia="Consolas" w:hAnsi="Consolas"/>
        </w:rPr>
        <w:t xml:space="preserve">subset()</w:t>
      </w:r>
      <w:r>
        <w:rPr>
          <w:rFonts w:ascii="Arial" w:eastAsia="Microsoft YaHei"/>
        </w:rPr>
        <w:t xml:space="preserve">-preserved designs, and</w:t>
      </w:r>
    </w:p>
    <w:p>
      <w:pPr>
        <w:spacing w:after="120" w:line="360" w:lineRule="auto"/>
        <w:ind w:firstLine="480"/>
      </w:pPr>
      <w:r>
        <w:rPr>
          <w:rFonts w:ascii="Consolas" w:cs="Consolas" w:eastAsia="Consolas" w:hAnsi="Consolas"/>
        </w:rPr>
        <w:t xml:space="preserve">survey::degf()</w:t>
      </w:r>
      <w:r>
        <w:rPr>
          <w:rFonts w:ascii="Arial" w:eastAsia="Microsoft YaHei"/>
        </w:rPr>
        <w:t xml:space="preserve"> design degrees of freedom).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What we found.</w:t>
      </w:r>
      <w:r>
        <w:rPr>
          <w:rFonts w:ascii="Arial" w:eastAsia="Microsoft YaHei"/>
        </w:rPr>
        <w:t xml:space="preserve"> Among adults with diabetes and objectively graded retinopathy who answered the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item, 70.2% (95% CI 63.8–75.9) reported no prior diabetic-eye diagnosis; among those with graded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AMD, 82.2% (77.3–86.2) reported none, including 41.4% with late AMD and 87.9% with early AMD.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Discordance narrowed with severity but did not close, and about one third of high-risk adults with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diabetes had not been examined within 12 months. Disease severity showed the clearest association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with patient-reported diagnosis, whereas estimates for socioeconomic factors and recent eye-care use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were less precise and did not consistently withstand multiple-testing correction.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Relation to prior work and our contribution.</w:t>
      </w:r>
      <w:r>
        <w:rPr>
          <w:rFonts w:ascii="Arial" w:eastAsia="Microsoft YaHei"/>
        </w:rPr>
        <w:t xml:space="preserve"> A 2025 NHANES 2005–2008 study already linked retinal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imaging with the diagnosis questionnaire to examine diabetic-retinopathy awareness in these same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cycles, so pairing objective grading with patient-reported diagnosis within a respondent is not, in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itself, our novelty. Our incremental contributions are (i) a parallel treatment of diabetic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eye-disease and AMD with explicit, disease-specific responder denominators; (ii) presentation of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discordance across clinically relevant severity strata, including moderate-or-worse retinopathy and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late AMD; (iii) relating reported diagnosis to recent dilated eye examination among adults with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diabetes, reported with the reciprocal-direction caveat appropriate to a cross-section; (iv)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systematic, design-aware sensitivity analyses addressing item non-response, covariate missingness and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retinal-image gradability; and (v) an NHIS comparison used only as auxiliary context. We explicitly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frame the "diagnosis gap" as a patient-reported construct, not a chart-confirmed under-diagnosis, and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characterise a historical period rather than current US practice.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Rigour and reproducibility.</w:t>
      </w:r>
      <w:r>
        <w:rPr>
          <w:rFonts w:ascii="Arial" w:eastAsia="Microsoft YaHei"/>
        </w:rPr>
        <w:t xml:space="preserve"> The analyses are supported by version-controlled scripts, a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consolidated results file (</w:t>
      </w:r>
      <w:r>
        <w:rPr>
          <w:rFonts w:ascii="Consolas" w:cs="Consolas" w:eastAsia="Consolas" w:hAnsi="Consolas"/>
        </w:rPr>
        <w:t xml:space="preserve">numbers_v7.csv</w:t>
      </w:r>
      <w:r>
        <w:rPr>
          <w:rFonts w:ascii="Arial" w:eastAsia="Microsoft YaHei"/>
        </w:rPr>
        <w:t xml:space="preserve">), and automated checks of analytic denominators,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survey-design and model residual degrees of freedom, and the internal consistency between each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reported odds ratio, its confidence interval and its P value (all read from the same fitted model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object). We have addressed prior methodological review points on construct validity, missing data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(complete-case plus missing-indicator, reduced-model and multiple-imputation sensitivity, with the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imputation framed as a limited stability check rather than independent replication), grading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feasibility (inverse-probability weighting with a full weight decomposition — reporting the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gradability probability, the inverse-probability factor and the combined survey weight separately,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and clarifying that the 0.05 floor was non-binding — plus a discordance-specific selection check),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design-based standardisation, and a supplementary audit of every model's degrees of freedom.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This article is original, not under consideration elsewhere, and all authors have approved the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submission in its submitted form. Data are public third-party files; no individual-level data are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redistributed. **Funding (none received), author contributions, competing interests and the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AI/LLM-use disclosure are now completed in the manuscript.** The one remaining item is the citable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code DOI: the full analysis archive (code, result tables, the consolidated </w:t>
      </w:r>
      <w:r>
        <w:rPr>
          <w:rFonts w:ascii="Consolas" w:cs="Consolas" w:eastAsia="Consolas" w:hAnsi="Consolas"/>
        </w:rPr>
        <w:t xml:space="preserve">numbers_v7.csv</w:t>
      </w:r>
      <w:r>
        <w:rPr>
          <w:rFonts w:ascii="Arial" w:eastAsia="Microsoft YaHei"/>
        </w:rPr>
        <w:t xml:space="preserve">, figures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and manuscript; no individual-level data) is deposited in a public, version-tagged GitHub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repository — https://github.com/teamhuang/eye3-nhanes-diagnosis-care-gap (release v8.0.0: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https://github.com/teamhuang/eye3-nhanes-diagnosis-care-gap/releases/tag/v8.0.0) — and is intended to be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registered with Zenodo to mint a citable version DOI, which will be added to the Code-availability statement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once issued. We do not cite a DOI until one exists.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Sincerely,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Jianhuang Huang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Department of Neurosurgery, Affiliated Hospital of Putian University, Putian, Fujian, China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teamhuang@sina.com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(on behalf of all authors, including co-corresponding author Jing Wang, Eye Institute of Shandong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First Medical University; Qingdao Eye Hospital of Shandong First Medical University, Qingdao,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Shandong, China — 13273530801@163.com)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2026-10-29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2026-10-30T17:41:40.096Z</dcterms:created>
  <dcterms:modified xsi:type="dcterms:W3CDTF">2026-10-30T17:41:40.097Z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