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val="0"/>
        </w:rPr>
        <w:t xml:space="preserve">Corresponding authors: </w:t>
      </w:r>
      <w:r>
        <w:rPr>
          <w:rFonts w:hint="default" w:ascii="Calibri" w:hAnsi="Calibri" w:eastAsia="Arial" w:cs="Calibri"/>
          <w:b w:val="0"/>
        </w:rPr>
        <w:t>Jianhuang Huang (teamhuang@sina.com); Jing Wang (13273530801@163.com)</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b w:val="0"/>
        </w:rPr>
      </w:pPr>
      <w:r>
        <w:rPr>
          <w:rFonts w:hint="default" w:ascii="Calibri" w:hAnsi="Calibri" w:cs="Calibri"/>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7D28A9C">
      <w:pPr>
        <w:spacing w:after="120" w:line="360" w:lineRule="auto"/>
        <w:rPr>
          <w:rFonts w:hint="default" w:ascii="Calibri" w:hAnsi="Calibri" w:cs="Calibri"/>
        </w:rPr>
      </w:pPr>
      <w:r>
        <w:rPr>
          <w:rFonts w:hint="default" w:ascii="Calibri" w:hAnsi="Calibri" w:eastAsia="Arial" w:cs="Calibri"/>
          <w:b w:val="0"/>
          <w:bCs w:val="0"/>
        </w:rPr>
        <w:t xml:space="preserve">Keywords: </w:t>
      </w:r>
      <w:r>
        <w:rPr>
          <w:rFonts w:hint="default" w:ascii="Calibri" w:hAnsi="Calibri" w:eastAsia="Arial" w:cs="Calibri"/>
          <w:b w:val="0"/>
        </w:rPr>
        <w:t>diabetic retinopathy; age-related macular degeneration; diagnosis awareness; health services utilisation; NHANES; NHIS</w:t>
      </w:r>
    </w:p>
    <w:p w14:paraId="17D55B90">
      <w:pPr>
        <w:spacing w:after="120" w:line="360" w:lineRule="auto"/>
        <w:rPr>
          <w:rFonts w:hint="default" w:ascii="Calibri" w:hAnsi="Calibri" w:cs="Calibri"/>
          <w:b w:val="0"/>
        </w:rPr>
      </w:pP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rFonts w:hint="default" w:ascii="Calibri" w:hAnsi="Calibri" w:cs="Calibri"/>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therapy.³,⁴,⁵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rFonts w:hint="default" w:ascii="Calibri" w:hAnsi="Calibri" w:cs="Calibri"/>
          <w:b w:val="0"/>
        </w:rPr>
        <w:t>National surveys have measured the prevalence of these conditions extensively.⁶,⁷,⁸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rFonts w:hint="default" w:ascii="Calibri" w:hAnsi="Calibri" w:cs="Calibri"/>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consent.¹²,¹³ Reporting follows the STROBE statement for observational studies.¹⁴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weights.¹³,¹⁵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S1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S1):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S2),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val="0"/>
        </w:rPr>
        <w:t>Missing-data handling.</w:t>
      </w:r>
      <w:r>
        <w:rPr>
          <w:rFonts w:hint="default" w:ascii="Calibri" w:hAnsi="Calibri" w:eastAsia="Arial" w:cs="Calibri"/>
          <w:b w:val="0"/>
          <w:bCs/>
        </w:rPr>
        <w:t xml:space="preserve"> The primary multivariable analysis was complete-case. Because education and income were substantially missing, we added three sensitivity analyses reported together in Supplementary Table S3: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p>
    <w:p w14:paraId="7CACB3DF">
      <w:pPr>
        <w:spacing w:after="120" w:line="360" w:lineRule="auto"/>
        <w:rPr>
          <w:rFonts w:hint="default" w:ascii="Calibri" w:hAnsi="Calibri" w:cs="Calibri"/>
        </w:rPr>
      </w:pPr>
      <w:r>
        <w:rPr>
          <w:rFonts w:hint="default" w:ascii="Calibri" w:hAnsi="Calibri" w:eastAsia="Arial" w:cs="Calibri"/>
          <w:b w:val="0"/>
          <w:bCs w:val="0"/>
        </w:rPr>
        <w:t xml:space="preserve">Age standardisation. </w:t>
      </w:r>
      <w:r>
        <w:rPr>
          <w:rFonts w:hint="default" w:ascii="Calibri" w:hAnsi="Calibri" w:eastAsia="Arial" w:cs="Calibri"/>
          <w:b w:val="0"/>
        </w:rPr>
        <w:t>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S4).</w:t>
      </w:r>
    </w:p>
    <w:p w14:paraId="37C82171">
      <w:pPr>
        <w:spacing w:after="120" w:line="360" w:lineRule="auto"/>
        <w:rPr>
          <w:rFonts w:hint="default" w:ascii="Calibri" w:hAnsi="Calibri" w:cs="Calibri"/>
        </w:rPr>
      </w:pPr>
      <w:r>
        <w:rPr>
          <w:rFonts w:hint="default" w:ascii="Calibri" w:hAnsi="Calibri" w:eastAsia="Arial" w:cs="Calibri"/>
          <w:b w:val="0"/>
          <w:bCs w:val="0"/>
        </w:rPr>
        <w:t xml:space="preserve">Multiple comparisons and analysis status. </w:t>
      </w:r>
      <w:r>
        <w:rPr>
          <w:rFonts w:hint="default" w:ascii="Calibri" w:hAnsi="Calibri" w:eastAsia="Arial" w:cs="Calibri"/>
          <w:b w:val="0"/>
          <w:bCs/>
        </w:rPr>
        <w:t>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p>
    <w:p w14:paraId="49094DEA">
      <w:pPr>
        <w:spacing w:after="120" w:line="360" w:lineRule="auto"/>
        <w:rPr>
          <w:rFonts w:hint="default" w:ascii="Calibri" w:hAnsi="Calibri" w:cs="Calibri"/>
        </w:rPr>
      </w:pPr>
      <w:r>
        <w:rPr>
          <w:rFonts w:hint="default" w:ascii="Calibri" w:hAnsi="Calibri" w:eastAsia="Arial" w:cs="Calibri"/>
          <w:b w:val="0"/>
          <w:bCs w:val="0"/>
        </w:rPr>
        <w:t>Ethics approval and consent to participate. This is a secondary analysis of de-identified, publicly available NHANES and NHIS data and was exempt from further institutional review. The original surveys were approved by the National Center for Health Statistics Research Ethics Review Board, and all participants provided written informed consent.</w:t>
      </w:r>
    </w:p>
    <w:p w14:paraId="252AB2A8">
      <w:pPr>
        <w:spacing w:after="120" w:line="360" w:lineRule="auto"/>
        <w:rPr>
          <w:rFonts w:hint="default" w:ascii="Calibri" w:hAnsi="Calibri" w:cs="Calibri"/>
        </w:rPr>
      </w:pPr>
      <w:r>
        <w:rPr>
          <w:rFonts w:hint="default" w:ascii="Calibri" w:hAnsi="Calibri" w:cs="Calibri"/>
          <w:b w:val="0"/>
        </w:rPr>
        <w:t>Declaration of generative AI in scientific writing. The authors used an AI coding assistant (QoderWork) to help write and debug the analysis scripts and to assist in drafting and editing the manuscript. After using the tool, the authors reviewed and edited the content as needed and take full responsibility for the published article. No AI tool meets the ICMJE authorship criteria and none is listed as an author.</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rFonts w:hint="default" w:ascii="Calibri" w:hAnsi="Calibri" w:cs="Calibri"/>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S5). Design degrees of freedom were computed with survey::degf() for each subset (Supplementary Table S2):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S2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S5).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rFonts w:hint="default" w:ascii="Calibri" w:hAnsi="Calibri" w:cs="Calibri"/>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S6).</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rPr>
          <w:rFonts w:hint="default" w:ascii="Calibri" w:hAnsi="Calibri" w:cs="Calibri"/>
        </w:rP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S7).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S7).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rFonts w:hint="default" w:ascii="Calibri" w:hAnsi="Calibri" w:cs="Calibri"/>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rFonts w:hint="default" w:ascii="Calibri" w:hAnsi="Calibri" w:cs="Calibri"/>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S3). In the AMD model, insurance was not included because complete separation in the uninsured stratum prevented a stable estimate; the descriptive pattern is reported in Supplementary Table S3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rFonts w:hint="default" w:ascii="Calibri" w:hAnsi="Calibri" w:cs="Calibri"/>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S2).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rFonts w:hint="default" w:ascii="Calibri" w:hAnsi="Calibri" w:cs="Calibri"/>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S8; Figure S1).</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rFonts w:hint="default" w:ascii="Calibri" w:hAnsi="Calibri" w:cs="Calibri"/>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S4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S2; Supplementary Table S4).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rFonts w:hint="default" w:ascii="Calibri" w:hAnsi="Calibri" w:cs="Calibri"/>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rFonts w:hint="default" w:ascii="Calibri" w:hAnsi="Calibri" w:cs="Calibri"/>
          <w:b w:val="0"/>
        </w:rPr>
        <w:t>The observed discordance is not a direct estimate of clinically undiagnosed disease. Imaging applies a standardised protocol, whereas the questionnaire records whether participants recall being told they had a corresponding condition; the two differ in diagnostic threshold, terminology and susceptibility to recall error, and the microvascular signs seen in adults with diabetes are not attributable to diabetes alone. Even so, discordance persisted in advanced categories (a 15.7% gap in severe-or-proliferative retinopathy and 41.4% in late AMD), so it cannot be explained by the inclusion of mild imaging abnormalities alone. The small numbers with severe retinopathy and late AMD call for caution in reading these severity-specific estimates.</w:t>
      </w:r>
    </w:p>
    <w:p w14:paraId="3453FC49">
      <w:pPr>
        <w:spacing w:after="120" w:line="360" w:lineRule="auto"/>
        <w:rPr>
          <w:rFonts w:hint="default" w:ascii="Calibri" w:hAnsi="Calibri" w:cs="Calibri"/>
        </w:rPr>
      </w:pPr>
      <w:r>
        <w:rPr>
          <w:rFonts w:hint="default" w:ascii="Calibri" w:hAnsi="Calibri" w:cs="Calibri"/>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it did not survive Holm correction. Because the design is cross-sectional, we cannot tell whether eye-care contact improves recognition, whether a known diagnosis prompts examination, or whether both track severity and access; settling that direction requires prospective data.</w:t>
      </w:r>
    </w:p>
    <w:p w14:paraId="3299D057">
      <w:pPr>
        <w:spacing w:after="120" w:line="360" w:lineRule="auto"/>
        <w:rPr>
          <w:rFonts w:hint="default" w:ascii="Calibri" w:hAnsi="Calibri" w:cs="Calibri"/>
        </w:rPr>
      </w:pPr>
      <w:r>
        <w:rPr>
          <w:rFonts w:hint="default" w:ascii="Calibri" w:hAnsi="Calibri" w:cs="Calibri"/>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S9),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diabetes.⁴,⁵,¹⁶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rFonts w:hint="default" w:ascii="Calibri" w:hAnsi="Calibri" w:cs="Calibri"/>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rFonts w:hint="default" w:ascii="Calibri" w:hAnsi="Calibri" w:cs="Calibri"/>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48F05C5C">
      <w:pPr>
        <w:pBdr>
          <w:bottom w:val="single" w:color="999999" w:sz="6" w:space="1"/>
        </w:pBdr>
        <w:spacing w:line="360" w:lineRule="auto"/>
        <w:rPr>
          <w:rFonts w:hint="default" w:ascii="Calibri" w:hAnsi="Calibri" w:cs="Calibri"/>
        </w:rPr>
      </w:pPr>
    </w:p>
    <w:p w14:paraId="5741F85C">
      <w:pPr>
        <w:pBdr>
          <w:bottom w:val="single" w:color="999999" w:sz="6" w:space="1"/>
        </w:pBdr>
        <w:spacing w:line="360" w:lineRule="auto"/>
        <w:rPr>
          <w:rFonts w:hint="default" w:ascii="Calibri" w:hAnsi="Calibri" w:cs="Calibri"/>
        </w:rPr>
      </w:pP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41602FB7">
      <w:pPr>
        <w:spacing w:after="120" w:line="360" w:lineRule="auto"/>
        <w:rPr>
          <w:rFonts w:hint="default" w:ascii="Calibri" w:hAnsi="Calibri" w:cs="Calibri"/>
        </w:rPr>
      </w:pPr>
      <w:r>
        <w:rPr>
          <w:rFonts w:hint="default" w:ascii="Calibri" w:hAnsi="Calibri" w:cs="Calibri"/>
          <w:b w:val="0"/>
          <w:bCs/>
        </w:rPr>
        <w:t>Code availability.</w:t>
      </w:r>
      <w:r>
        <w:rPr>
          <w:rFonts w:hint="default" w:ascii="Calibri" w:hAnsi="Calibri" w:cs="Calibri"/>
          <w:b w:val="0"/>
        </w:rPr>
        <w:t xml:space="preserve"> </w:t>
      </w:r>
      <w:bookmarkStart w:id="0" w:name="_GoBack"/>
      <w:bookmarkEnd w:id="0"/>
      <w:r>
        <w:rPr>
          <w:rFonts w:hint="default" w:ascii="Calibri" w:hAnsi="Calibri" w:cs="Calibri"/>
          <w:b w:val="0"/>
        </w:rPr>
        <w:t>The code used to produce all results in this study is available in a public GitHub repository at https://github.com/teamhuang/eye3-nhanes-diagnosis-care-gap (version-tagged release: https://github.com/teamhuang/eye3-nhanes-diagnosis-care-gap/releases/tag/v10.0.0).</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62B9CA0D">
      <w:pPr>
        <w:pStyle w:val="3"/>
        <w:spacing w:line="360" w:lineRule="auto"/>
        <w:rPr>
          <w:rFonts w:hint="default" w:ascii="Calibri" w:hAnsi="Calibri" w:cs="Calibri"/>
        </w:rPr>
      </w:pPr>
      <w:r>
        <w:rPr>
          <w:rFonts w:hint="default" w:ascii="Calibri" w:hAnsi="Calibri" w:cs="Calibri"/>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650902A">
      <w:pPr>
        <w:spacing w:after="120" w:line="360" w:lineRule="auto"/>
        <w:rPr>
          <w:rFonts w:hint="default" w:ascii="Calibri" w:hAnsi="Calibri" w:cs="Calibri"/>
        </w:rPr>
      </w:pPr>
      <w:r>
        <w:rPr>
          <w:rFonts w:hint="default" w:ascii="Calibri" w:hAnsi="Calibri" w:eastAsia="Arial" w:cs="Calibri"/>
          <w:b w:val="0"/>
          <w:i/>
          <w:iCs/>
        </w:rPr>
        <w:t>Additional information. Supplementary Tables S1–S9 and Supplementary Figures S1–S2 are provided in a separate Supplementary Materials file and report cohort reconciliation, severity analyses, model diagnostics, sensitivity analyses and variable provenance. All supplementary values are generated from numbers_v7.csv.</w:t>
      </w: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rFonts w:hint="default" w:ascii="Calibri" w:hAnsi="Calibri" w:cs="Calibri"/>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rFonts w:hint="default" w:ascii="Calibri" w:hAnsi="Calibri" w:cs="Calibri"/>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rFonts w:hint="default" w:ascii="Calibri" w:hAnsi="Calibri" w:cs="Calibri"/>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6" name="Picture 16"/>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800000" cy="1800000"/>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3060000" cy="1800628"/>
            <wp:docPr id="17" name="Picture 17"/>
            <wp:cNvGraphicFramePr>
              <a:graphicFrameLocks noChangeAspect="1"/>
            </wp:cNvGraphicFramePr>
            <a:graphic>
              <a:graphicData uri="http://schemas.openxmlformats.org/drawingml/2006/picture">
                <pic:pic>
                  <pic:nvPicPr>
                    <pic:cNvPr id="0" name="Fig2_gradient_forest.png"/>
                    <pic:cNvPicPr/>
                  </pic:nvPicPr>
                  <pic:blipFill>
                    <a:blip r:embed="rId7"/>
                    <a:stretch>
                      <a:fillRect/>
                    </a:stretch>
                  </pic:blipFill>
                  <pic:spPr>
                    <a:xfrm>
                      <a:off x="0" y="0"/>
                      <a:ext cx="3060000" cy="1800628"/>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800000" cy="180000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rFonts w:hint="default" w:ascii="Calibri" w:hAnsi="Calibri" w:cs="Calibri"/>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S5.</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5B080C0D">
            <w:pPr>
              <w:rPr>
                <w:rFonts w:hint="default" w:ascii="Calibri" w:hAnsi="Calibri" w:cs="Calibri"/>
              </w:rPr>
            </w:pPr>
            <w:r>
              <w:rPr>
                <w:rFonts w:hint="default" w:ascii="Calibri" w:hAnsi="Calibri" w:cs="Calibri"/>
              </w:rPr>
              <w:t>Measure</w:t>
            </w:r>
          </w:p>
        </w:tc>
        <w:tc>
          <w:tcPr>
            <w:tcW w:w="3008" w:type="dxa"/>
            <w:tcBorders>
              <w:bottom w:val="single" w:sz="6" w:space="0" w:color="auto"/>
            </w:tcBorders>
            <w:shd w:val="clear" w:color="auto" w:fill="D5E8F0"/>
            <w:tcMar>
              <w:top w:w="80" w:type="dxa"/>
              <w:left w:w="120" w:type="dxa"/>
              <w:bottom w:w="80" w:type="dxa"/>
              <w:right w:w="120" w:type="dxa"/>
            </w:tcMar>
          </w:tcPr>
          <w:p w14:paraId="3057ABCF">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31ACEE62">
            <w:pPr>
              <w:rPr>
                <w:rFonts w:hint="default" w:ascii="Calibri" w:hAnsi="Calibri" w:cs="Calibri"/>
              </w:rPr>
            </w:pPr>
            <w:r>
              <w:rPr>
                <w:rFonts w:hint="default" w:ascii="Calibri" w:hAnsi="Calibri" w:cs="Calibri"/>
              </w:rP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23210">
            <w:pPr>
              <w:rPr>
                <w:rFonts w:hint="default" w:ascii="Calibri" w:hAnsi="Calibri" w:cs="Calibri"/>
              </w:rPr>
            </w:pPr>
            <w:r>
              <w:rPr>
                <w:rFonts w:hint="default" w:ascii="Calibri" w:hAnsi="Calibri" w:cs="Calibri"/>
              </w:rP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17EC40">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F2623">
            <w:pPr>
              <w:rPr>
                <w:rFonts w:hint="default" w:ascii="Calibri" w:hAnsi="Calibri" w:cs="Calibri"/>
              </w:rPr>
            </w:pPr>
            <w:r>
              <w:rPr>
                <w:rFonts w:hint="default" w:ascii="Calibri" w:hAnsi="Calibri" w:cs="Calibri"/>
              </w:rP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50C4EB">
            <w:pPr>
              <w:rPr>
                <w:rFonts w:hint="default" w:ascii="Calibri" w:hAnsi="Calibri" w:cs="Calibri"/>
              </w:rPr>
            </w:pPr>
            <w:r>
              <w:rPr>
                <w:rFonts w:hint="default" w:ascii="Calibri" w:hAnsi="Calibri" w:cs="Calibri"/>
              </w:rP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A90F99">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10258">
            <w:pPr>
              <w:rPr>
                <w:rFonts w:hint="default" w:ascii="Calibri" w:hAnsi="Calibri" w:cs="Calibri"/>
              </w:rPr>
            </w:pPr>
            <w:r>
              <w:rPr>
                <w:rFonts w:hint="default" w:ascii="Calibri" w:hAnsi="Calibri" w:cs="Calibri"/>
              </w:rP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8BA033">
            <w:pPr>
              <w:rPr>
                <w:rFonts w:hint="default" w:ascii="Calibri" w:hAnsi="Calibri" w:cs="Calibri"/>
              </w:rPr>
            </w:pPr>
            <w:r>
              <w:rPr>
                <w:rFonts w:hint="default" w:ascii="Calibri" w:hAnsi="Calibri" w:cs="Calibri"/>
              </w:rP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A1525B">
            <w:pPr>
              <w:rPr>
                <w:rFonts w:hint="default" w:ascii="Calibri" w:hAnsi="Calibri" w:cs="Calibri"/>
              </w:rPr>
            </w:pPr>
            <w:r>
              <w:rPr>
                <w:rFonts w:hint="default" w:ascii="Calibri" w:hAnsi="Calibri" w:cs="Calibri"/>
              </w:rP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8C239C">
            <w:pPr>
              <w:rPr>
                <w:rFonts w:hint="default" w:ascii="Calibri" w:hAnsi="Calibri" w:cs="Calibri"/>
              </w:rPr>
            </w:pPr>
            <w:r>
              <w:rPr>
                <w:rFonts w:hint="default" w:ascii="Calibri" w:hAnsi="Calibri" w:cs="Calibri"/>
              </w:rP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88DD71">
            <w:pPr>
              <w:rPr>
                <w:rFonts w:hint="default" w:ascii="Calibri" w:hAnsi="Calibri" w:cs="Calibri"/>
              </w:rPr>
            </w:pPr>
            <w:r>
              <w:rPr>
                <w:rFonts w:hint="default" w:ascii="Calibri" w:hAnsi="Calibri" w:cs="Calibri"/>
              </w:rP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6B563C">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D69D0E">
            <w:pPr>
              <w:rPr>
                <w:rFonts w:hint="default" w:ascii="Calibri" w:hAnsi="Calibri" w:cs="Calibri"/>
              </w:rPr>
            </w:pPr>
            <w:r>
              <w:rPr>
                <w:rFonts w:hint="default" w:ascii="Calibri" w:hAnsi="Calibri" w:cs="Calibri"/>
              </w:rP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4C3C3A">
            <w:pPr>
              <w:rPr>
                <w:rFonts w:hint="default" w:ascii="Calibri" w:hAnsi="Calibri" w:cs="Calibri"/>
              </w:rPr>
            </w:pPr>
            <w:r>
              <w:rPr>
                <w:rFonts w:hint="default" w:ascii="Calibri" w:hAnsi="Calibri" w:cs="Calibri"/>
              </w:rP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988F7D">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BD857B">
            <w:pPr>
              <w:rPr>
                <w:rFonts w:hint="default" w:ascii="Calibri" w:hAnsi="Calibri" w:cs="Calibri"/>
              </w:rPr>
            </w:pPr>
            <w:r>
              <w:rPr>
                <w:rFonts w:hint="default" w:ascii="Calibri" w:hAnsi="Calibri" w:cs="Calibri"/>
              </w:rP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68B46">
            <w:pPr>
              <w:rPr>
                <w:rFonts w:hint="default" w:ascii="Calibri" w:hAnsi="Calibri" w:cs="Calibri"/>
              </w:rPr>
            </w:pPr>
            <w:r>
              <w:rPr>
                <w:rFonts w:hint="default" w:ascii="Calibri" w:hAnsi="Calibri" w:cs="Calibri"/>
              </w:rP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4FD8A">
            <w:pPr>
              <w:rPr>
                <w:rFonts w:hint="default" w:ascii="Calibri" w:hAnsi="Calibri" w:cs="Calibri"/>
              </w:rPr>
            </w:pPr>
            <w:r>
              <w:rPr>
                <w:rFonts w:hint="default" w:ascii="Calibri" w:hAnsi="Calibri" w:cs="Calibri"/>
              </w:rP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80FF">
            <w:pPr>
              <w:rPr>
                <w:rFonts w:hint="default" w:ascii="Calibri" w:hAnsi="Calibri" w:cs="Calibri"/>
              </w:rPr>
            </w:pPr>
            <w:r>
              <w:rPr>
                <w:rFonts w:hint="default" w:ascii="Calibri" w:hAnsi="Calibri" w:cs="Calibri"/>
              </w:rP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rFonts w:hint="default" w:ascii="Calibri" w:hAnsi="Calibri" w:cs="Calibri"/>
          <w:b/>
        </w:rPr>
        <w:t>Table 2. Diagnosis discordance by disease severity and eye-care utilisation among item responders, US adults aged ≥ 40, NHANES 2005–2008.</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7514E3C9">
            <w:pPr>
              <w:rPr>
                <w:rFonts w:hint="default" w:ascii="Calibri" w:hAnsi="Calibri" w:cs="Calibri"/>
              </w:rPr>
            </w:pPr>
            <w:r>
              <w:rPr>
                <w:rFonts w:hint="default" w:ascii="Calibri" w:hAnsi="Calibri" w:cs="Calibri"/>
              </w:rPr>
              <w:t>Group</w:t>
            </w:r>
          </w:p>
        </w:tc>
        <w:tc>
          <w:tcPr>
            <w:tcW w:w="3008" w:type="dxa"/>
            <w:tcBorders>
              <w:bottom w:val="single" w:sz="6" w:space="0" w:color="auto"/>
            </w:tcBorders>
            <w:shd w:val="clear" w:color="auto" w:fill="D5E8F0"/>
            <w:tcMar>
              <w:top w:w="80" w:type="dxa"/>
              <w:left w:w="120" w:type="dxa"/>
              <w:bottom w:w="80" w:type="dxa"/>
              <w:right w:w="120" w:type="dxa"/>
            </w:tcMar>
          </w:tcPr>
          <w:p w14:paraId="5E372E84">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6823A658">
            <w:pPr>
              <w:rPr>
                <w:rFonts w:hint="default" w:ascii="Calibri" w:hAnsi="Calibri" w:cs="Calibri"/>
              </w:rPr>
            </w:pPr>
            <w:r>
              <w:rPr>
                <w:rFonts w:hint="default" w:ascii="Calibri" w:hAnsi="Calibri" w:cs="Calibri"/>
              </w:rP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05F62">
            <w:pPr>
              <w:rPr>
                <w:rFonts w:hint="default" w:ascii="Calibri" w:hAnsi="Calibri" w:cs="Calibri"/>
              </w:rPr>
            </w:pPr>
            <w:r>
              <w:rPr>
                <w:rFonts w:hint="default" w:ascii="Calibri" w:hAnsi="Calibri" w:cs="Calibri"/>
              </w:rP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381461">
            <w:pPr>
              <w:rPr>
                <w:rFonts w:hint="default" w:ascii="Calibri" w:hAnsi="Calibri" w:cs="Calibri"/>
              </w:rPr>
            </w:pPr>
            <w:r>
              <w:rPr>
                <w:rFonts w:hint="default" w:ascii="Calibri" w:hAnsi="Calibri" w:cs="Calibri"/>
              </w:rP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533753">
            <w:pPr>
              <w:rPr>
                <w:rFonts w:hint="default" w:ascii="Calibri" w:hAnsi="Calibri" w:cs="Calibri"/>
              </w:rPr>
            </w:pPr>
            <w:r>
              <w:rPr>
                <w:rFonts w:hint="default" w:ascii="Calibri" w:hAnsi="Calibri" w:cs="Calibri"/>
              </w:rP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168A2A">
            <w:pPr>
              <w:rPr>
                <w:rFonts w:hint="default" w:ascii="Calibri" w:hAnsi="Calibri" w:cs="Calibri"/>
              </w:rPr>
            </w:pPr>
            <w:r>
              <w:rPr>
                <w:rFonts w:hint="default" w:ascii="Calibri" w:hAnsi="Calibri" w:cs="Calibri"/>
              </w:rP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E3A21E">
            <w:pPr>
              <w:rPr>
                <w:rFonts w:hint="default" w:ascii="Calibri" w:hAnsi="Calibri" w:cs="Calibri"/>
              </w:rPr>
            </w:pPr>
            <w:r>
              <w:rPr>
                <w:rFonts w:hint="default" w:ascii="Calibri" w:hAnsi="Calibri" w:cs="Calibri"/>
              </w:rP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AF69D">
            <w:pPr>
              <w:rPr>
                <w:rFonts w:hint="default" w:ascii="Calibri" w:hAnsi="Calibri" w:cs="Calibri"/>
              </w:rPr>
            </w:pPr>
            <w:r>
              <w:rPr>
                <w:rFonts w:hint="default" w:ascii="Calibri" w:hAnsi="Calibri" w:cs="Calibri"/>
              </w:rP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3D0088">
            <w:pPr>
              <w:rPr>
                <w:rFonts w:hint="default" w:ascii="Calibri" w:hAnsi="Calibri" w:cs="Calibri"/>
              </w:rPr>
            </w:pPr>
            <w:r>
              <w:rPr>
                <w:rFonts w:hint="default" w:ascii="Calibri" w:hAnsi="Calibri" w:cs="Calibri"/>
              </w:rP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32C394C">
            <w:pPr>
              <w:rPr>
                <w:rFonts w:hint="default" w:ascii="Calibri" w:hAnsi="Calibri" w:cs="Calibri"/>
              </w:rPr>
            </w:pPr>
            <w:r>
              <w:rPr>
                <w:rFonts w:hint="default" w:ascii="Calibri" w:hAnsi="Calibri" w:cs="Calibri"/>
              </w:rP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31C2E6">
            <w:pPr>
              <w:rPr>
                <w:rFonts w:hint="default" w:ascii="Calibri" w:hAnsi="Calibri" w:cs="Calibri"/>
              </w:rPr>
            </w:pPr>
            <w:r>
              <w:rPr>
                <w:rFonts w:hint="default" w:ascii="Calibri" w:hAnsi="Calibri" w:cs="Calibri"/>
              </w:rP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EF7D8">
            <w:pPr>
              <w:rPr>
                <w:rFonts w:hint="default" w:ascii="Calibri" w:hAnsi="Calibri" w:cs="Calibri"/>
              </w:rPr>
            </w:pPr>
            <w:r>
              <w:rPr>
                <w:rFonts w:hint="default" w:ascii="Calibri" w:hAnsi="Calibri" w:cs="Calibri"/>
              </w:rP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4420E">
            <w:pPr>
              <w:rPr>
                <w:rFonts w:hint="default" w:ascii="Calibri" w:hAnsi="Calibri" w:cs="Calibri"/>
              </w:rPr>
            </w:pPr>
            <w:r>
              <w:rPr>
                <w:rFonts w:hint="default" w:ascii="Calibri" w:hAnsi="Calibri" w:cs="Calibri"/>
              </w:rP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3F4F37">
            <w:pPr>
              <w:rPr>
                <w:rFonts w:hint="default" w:ascii="Calibri" w:hAnsi="Calibri" w:cs="Calibri"/>
              </w:rPr>
            </w:pPr>
            <w:r>
              <w:rPr>
                <w:rFonts w:hint="default" w:ascii="Calibri" w:hAnsi="Calibri" w:cs="Calibri"/>
              </w:rP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3D1836">
            <w:pPr>
              <w:rPr>
                <w:rFonts w:hint="default" w:ascii="Calibri" w:hAnsi="Calibri" w:cs="Calibri"/>
              </w:rPr>
            </w:pPr>
            <w:r>
              <w:rPr>
                <w:rFonts w:hint="default" w:ascii="Calibri" w:hAnsi="Calibri" w:cs="Calibri"/>
              </w:rP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F74FAD">
            <w:pPr>
              <w:rPr>
                <w:rFonts w:hint="default" w:ascii="Calibri" w:hAnsi="Calibri" w:cs="Calibri"/>
              </w:rPr>
            </w:pPr>
            <w:r>
              <w:rPr>
                <w:rFonts w:hint="default" w:ascii="Calibri" w:hAnsi="Calibri" w:cs="Calibri"/>
              </w:rP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C5C975">
            <w:pPr>
              <w:rPr>
                <w:rFonts w:hint="default" w:ascii="Calibri" w:hAnsi="Calibri" w:cs="Calibri"/>
              </w:rPr>
            </w:pPr>
            <w:r>
              <w:rPr>
                <w:rFonts w:hint="default" w:ascii="Calibri" w:hAnsi="Calibri" w:cs="Calibri"/>
              </w:rP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90FDEB">
            <w:pPr>
              <w:rPr>
                <w:rFonts w:hint="default" w:ascii="Calibri" w:hAnsi="Calibri" w:cs="Calibri"/>
              </w:rPr>
            </w:pPr>
            <w:r>
              <w:rPr>
                <w:rFonts w:hint="default" w:ascii="Calibri" w:hAnsi="Calibri" w:cs="Calibri"/>
              </w:rP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2045E2">
            <w:pPr>
              <w:rPr>
                <w:rFonts w:hint="default" w:ascii="Calibri" w:hAnsi="Calibri" w:cs="Calibri"/>
              </w:rPr>
            </w:pPr>
            <w:r>
              <w:rPr>
                <w:rFonts w:hint="default" w:ascii="Calibri" w:hAnsi="Calibri" w:cs="Calibri"/>
              </w:rP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3936F">
            <w:pPr>
              <w:rPr>
                <w:rFonts w:hint="default" w:ascii="Calibri" w:hAnsi="Calibri" w:cs="Calibri"/>
              </w:rPr>
            </w:pPr>
            <w:r>
              <w:rPr>
                <w:rFonts w:hint="default" w:ascii="Calibri" w:hAnsi="Calibri" w:cs="Calibri"/>
              </w:rPr>
              <w:t>82.2 (77.3–86.2)</w:t>
            </w:r>
          </w:p>
        </w:tc>
      </w:tr>
      <w:tr w14:paraId="63F9C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46102956">
            <w:pPr>
              <w:rPr>
                <w:rFonts w:hint="default" w:ascii="Calibri" w:hAnsi="Calibri" w:cs="Calibri"/>
              </w:rPr>
            </w:pPr>
            <w:r>
              <w:rPr>
                <w:rFonts w:hint="default" w:ascii="Calibri" w:hAnsi="Calibri" w:cs="Calibri"/>
              </w:rPr>
              <w:t>Early AMD</w:t>
            </w:r>
          </w:p>
        </w:tc>
        <w:tc>
          <w:tcPr>
            <w:tcW w:w="3009" w:type="dxa"/>
          </w:tcPr>
          <w:p w14:paraId="3328AD72">
            <w:pPr>
              <w:rPr>
                <w:rFonts w:hint="default" w:ascii="Calibri" w:hAnsi="Calibri" w:cs="Calibri"/>
              </w:rPr>
            </w:pPr>
            <w:r>
              <w:rPr>
                <w:rFonts w:hint="default" w:ascii="Calibri" w:hAnsi="Calibri" w:cs="Calibri"/>
              </w:rPr>
              <w:t>381</w:t>
            </w:r>
          </w:p>
        </w:tc>
        <w:tc>
          <w:tcPr>
            <w:tcW w:w="3009" w:type="dxa"/>
          </w:tcPr>
          <w:p w14:paraId="128573A9">
            <w:pPr>
              <w:rPr>
                <w:rFonts w:hint="default" w:ascii="Calibri" w:hAnsi="Calibri" w:cs="Calibri"/>
              </w:rPr>
            </w:pPr>
            <w:r>
              <w:rPr>
                <w:rFonts w:hint="default" w:ascii="Calibri" w:hAnsi="Calibri" w:cs="Calibri"/>
              </w:rPr>
              <w:t>87.9 (84.4–90.6)</w:t>
            </w:r>
          </w:p>
        </w:tc>
      </w:tr>
      <w:tr w14:paraId="5538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717BF6C7">
            <w:pPr>
              <w:rPr>
                <w:rFonts w:hint="default" w:ascii="Calibri" w:hAnsi="Calibri" w:cs="Calibri"/>
              </w:rPr>
            </w:pPr>
            <w:r>
              <w:rPr>
                <w:rFonts w:hint="default" w:ascii="Calibri" w:hAnsi="Calibri" w:cs="Calibri"/>
              </w:rPr>
              <w:t>Late AMD</w:t>
            </w:r>
          </w:p>
        </w:tc>
        <w:tc>
          <w:tcPr>
            <w:tcW w:w="3009" w:type="dxa"/>
          </w:tcPr>
          <w:p w14:paraId="29FCA29D">
            <w:pPr>
              <w:rPr>
                <w:rFonts w:hint="default" w:ascii="Calibri" w:hAnsi="Calibri" w:cs="Calibri"/>
              </w:rPr>
            </w:pPr>
            <w:r>
              <w:rPr>
                <w:rFonts w:hint="default" w:ascii="Calibri" w:hAnsi="Calibri" w:cs="Calibri"/>
              </w:rPr>
              <w:t>55</w:t>
            </w:r>
          </w:p>
        </w:tc>
        <w:tc>
          <w:tcPr>
            <w:tcW w:w="3009" w:type="dxa"/>
          </w:tcPr>
          <w:p w14:paraId="62406C62">
            <w:pPr>
              <w:rPr>
                <w:rFonts w:hint="default" w:ascii="Calibri" w:hAnsi="Calibri" w:cs="Calibri"/>
              </w:rPr>
            </w:pPr>
            <w:r>
              <w:rPr>
                <w:rFonts w:hint="default" w:ascii="Calibri" w:hAnsi="Calibri" w:cs="Calibri"/>
              </w:rPr>
              <w:t>41.4 (25.3–59.6)</w:t>
            </w:r>
          </w:p>
        </w:tc>
      </w:tr>
      <w:tr w14:paraId="5AC9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1877D6D6">
            <w:pPr>
              <w:rPr>
                <w:rFonts w:hint="default" w:ascii="Calibri" w:hAnsi="Calibri" w:cs="Calibri"/>
              </w:rPr>
            </w:pPr>
            <w:r>
              <w:rPr>
                <w:rFonts w:hint="default" w:ascii="Calibri" w:hAnsi="Calibri" w:cs="Calibri"/>
              </w:rPr>
              <w:t>Eye-care utilisation (% not examined within 12 months)</w:t>
            </w:r>
          </w:p>
        </w:tc>
        <w:tc>
          <w:tcPr>
            <w:tcW w:w="3009" w:type="dxa"/>
          </w:tcPr>
          <w:p w14:paraId="7D536F8C">
            <w:pPr>
              <w:rPr>
                <w:rFonts w:hint="default" w:ascii="Calibri" w:hAnsi="Calibri" w:cs="Calibri"/>
              </w:rPr>
            </w:pPr>
          </w:p>
        </w:tc>
        <w:tc>
          <w:tcPr>
            <w:tcW w:w="3009" w:type="dxa"/>
          </w:tcPr>
          <w:p w14:paraId="2D7E2FFF">
            <w:pPr>
              <w:rPr>
                <w:rFonts w:hint="default" w:ascii="Calibri" w:hAnsi="Calibri" w:cs="Calibri"/>
              </w:rPr>
            </w:pPr>
          </w:p>
        </w:tc>
      </w:tr>
      <w:tr w14:paraId="558C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6458EC25">
            <w:pPr>
              <w:rPr>
                <w:rFonts w:hint="default" w:ascii="Calibri" w:hAnsi="Calibri" w:cs="Calibri"/>
              </w:rPr>
            </w:pPr>
            <w:r>
              <w:rPr>
                <w:rFonts w:hint="default" w:ascii="Calibri" w:hAnsi="Calibri" w:cs="Calibri"/>
              </w:rPr>
              <w:t>No dilated exam ≤ 12 mo, all adults with diabetes</w:t>
            </w:r>
          </w:p>
        </w:tc>
        <w:tc>
          <w:tcPr>
            <w:tcW w:w="3009" w:type="dxa"/>
          </w:tcPr>
          <w:p w14:paraId="03C1E788">
            <w:pPr>
              <w:rPr>
                <w:rFonts w:hint="default" w:ascii="Calibri" w:hAnsi="Calibri" w:cs="Calibri"/>
              </w:rPr>
            </w:pPr>
            <w:r>
              <w:rPr>
                <w:rFonts w:hint="default" w:ascii="Calibri" w:hAnsi="Calibri" w:cs="Calibri"/>
              </w:rPr>
              <w:t>1,119</w:t>
            </w:r>
          </w:p>
        </w:tc>
        <w:tc>
          <w:tcPr>
            <w:tcW w:w="3009" w:type="dxa"/>
          </w:tcPr>
          <w:p w14:paraId="3ED26D8F">
            <w:pPr>
              <w:rPr>
                <w:rFonts w:hint="default" w:ascii="Calibri" w:hAnsi="Calibri" w:cs="Calibri"/>
              </w:rPr>
            </w:pPr>
            <w:r>
              <w:rPr>
                <w:rFonts w:hint="default" w:ascii="Calibri" w:hAnsi="Calibri" w:cs="Calibri"/>
              </w:rPr>
              <w:t>35.8 (31.3–40.5)</w:t>
            </w:r>
          </w:p>
        </w:tc>
      </w:tr>
      <w:tr w14:paraId="20DEF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37A28DD6">
            <w:pPr>
              <w:rPr>
                <w:rFonts w:hint="default" w:ascii="Calibri" w:hAnsi="Calibri" w:cs="Calibri"/>
              </w:rPr>
            </w:pPr>
            <w:r>
              <w:rPr>
                <w:rFonts w:hint="default" w:ascii="Calibri" w:hAnsi="Calibri" w:cs="Calibri"/>
              </w:rPr>
              <w:t>No dilated exam ≤ 12 mo, diabetes + retinopathy</w:t>
            </w:r>
          </w:p>
        </w:tc>
        <w:tc>
          <w:tcPr>
            <w:tcW w:w="3009" w:type="dxa"/>
          </w:tcPr>
          <w:p w14:paraId="578225D5">
            <w:pPr>
              <w:rPr>
                <w:rFonts w:hint="default" w:ascii="Calibri" w:hAnsi="Calibri" w:cs="Calibri"/>
              </w:rPr>
            </w:pPr>
            <w:r>
              <w:rPr>
                <w:rFonts w:hint="default" w:ascii="Calibri" w:hAnsi="Calibri" w:cs="Calibri"/>
              </w:rPr>
              <w:t>313</w:t>
            </w:r>
          </w:p>
        </w:tc>
        <w:tc>
          <w:tcPr>
            <w:tcW w:w="3009" w:type="dxa"/>
          </w:tcPr>
          <w:p w14:paraId="3DA52CAA">
            <w:pPr>
              <w:rPr>
                <w:rFonts w:hint="default" w:ascii="Calibri" w:hAnsi="Calibri" w:cs="Calibri"/>
              </w:rPr>
            </w:pPr>
            <w:r>
              <w:rPr>
                <w:rFonts w:hint="default" w:ascii="Calibri" w:hAnsi="Calibri" w:cs="Calibri"/>
              </w:rP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rFonts w:hint="default" w:ascii="Calibri" w:hAnsi="Calibri" w:cs="Calibri"/>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12"/>
        <w:gridCol w:w="2409"/>
        <w:gridCol w:w="2409"/>
        <w:gridCol w:w="1496"/>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3F2BAAEE">
            <w:pPr>
              <w:rPr>
                <w:rFonts w:hint="default" w:ascii="Calibri" w:hAnsi="Calibri" w:cs="Calibri"/>
              </w:rPr>
            </w:pPr>
            <w:r>
              <w:rPr>
                <w:rFonts w:hint="default" w:ascii="Calibri" w:hAnsi="Calibri" w:cs="Calibri"/>
              </w:rPr>
              <w:t>Term</w:t>
            </w:r>
          </w:p>
        </w:tc>
        <w:tc>
          <w:tcPr>
            <w:tcW w:w="3008" w:type="dxa"/>
            <w:tcBorders>
              <w:bottom w:val="single" w:sz="6" w:space="0" w:color="auto"/>
            </w:tcBorders>
            <w:shd w:val="clear" w:color="auto" w:fill="D5E8F0"/>
            <w:tcMar>
              <w:top w:w="80" w:type="dxa"/>
              <w:left w:w="120" w:type="dxa"/>
              <w:bottom w:w="80" w:type="dxa"/>
              <w:right w:w="120" w:type="dxa"/>
            </w:tcMar>
          </w:tcPr>
          <w:p w14:paraId="22622E2A">
            <w:pPr>
              <w:rPr>
                <w:rFonts w:hint="default" w:ascii="Calibri" w:hAnsi="Calibri" w:cs="Calibri"/>
              </w:rPr>
            </w:pPr>
            <w:r>
              <w:rPr>
                <w:rFonts w:hint="default" w:ascii="Calibri" w:hAnsi="Calibri" w:cs="Calibri"/>
              </w:rPr>
              <w:t>DR core (n = 187)</w:t>
            </w:r>
          </w:p>
        </w:tc>
        <w:tc>
          <w:tcPr>
            <w:tcW w:w="3008" w:type="dxa"/>
            <w:tcBorders>
              <w:bottom w:val="single" w:sz="6" w:space="0" w:color="auto"/>
            </w:tcBorders>
            <w:shd w:val="clear" w:color="auto" w:fill="D5E8F0"/>
            <w:tcMar>
              <w:top w:w="80" w:type="dxa"/>
              <w:left w:w="120" w:type="dxa"/>
              <w:bottom w:w="80" w:type="dxa"/>
              <w:right w:w="120" w:type="dxa"/>
            </w:tcMar>
          </w:tcPr>
          <w:p w14:paraId="43B0D3B4">
            <w:pPr>
              <w:rPr>
                <w:rFonts w:hint="default" w:ascii="Calibri" w:hAnsi="Calibri" w:cs="Calibri"/>
              </w:rPr>
            </w:pPr>
            <w:r>
              <w:rPr>
                <w:rFonts w:hint="default" w:ascii="Calibri" w:hAnsi="Calibri" w:cs="Calibri"/>
              </w:rPr>
              <w:t>AMD core (n = 226)</w:t>
            </w:r>
          </w:p>
        </w:tc>
        <w:tc>
          <w:tcPr>
            <w:tcW w:w="1701" w:type="dxa"/>
            <w:tcBorders>
              <w:bottom w:val="single" w:sz="6" w:space="0" w:color="auto"/>
            </w:tcBorders>
          </w:tcPr>
          <w:p w14:paraId="0226B10A">
            <w:pPr>
              <w:rPr>
                <w:rFonts w:hint="default" w:ascii="Calibri" w:hAnsi="Calibri" w:cs="Calibri"/>
              </w:rPr>
            </w:pPr>
            <w:r>
              <w:rPr>
                <w:rFonts w:hint="default" w:ascii="Calibri" w:hAnsi="Calibri" w:cs="Calibri"/>
              </w:rP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B21A85">
            <w:pPr>
              <w:rPr>
                <w:rFonts w:hint="default" w:ascii="Calibri" w:hAnsi="Calibri" w:cs="Calibri"/>
              </w:rPr>
            </w:pPr>
            <w:r>
              <w:rPr>
                <w:rFonts w:hint="default" w:ascii="Calibri" w:hAnsi="Calibri" w:cs="Calibri"/>
              </w:rP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97D6D7">
            <w:pPr>
              <w:rPr>
                <w:rFonts w:hint="default" w:ascii="Calibri" w:hAnsi="Calibri" w:cs="Calibri"/>
              </w:rPr>
            </w:pPr>
            <w:r>
              <w:rPr>
                <w:rFonts w:hint="default" w:ascii="Calibri" w:hAnsi="Calibri" w:cs="Calibri"/>
              </w:rP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31062D">
            <w:pPr>
              <w:rPr>
                <w:rFonts w:hint="default" w:ascii="Calibri" w:hAnsi="Calibri" w:cs="Calibri"/>
              </w:rPr>
            </w:pPr>
            <w:r>
              <w:rPr>
                <w:rFonts w:hint="default" w:ascii="Calibri" w:hAnsi="Calibri" w:cs="Calibri"/>
              </w:rPr>
              <w:t>0.93 (0.89–0.96) †</w:t>
            </w:r>
          </w:p>
        </w:tc>
        <w:tc>
          <w:tcPr>
            <w:tcW w:w="1701" w:type="dxa"/>
          </w:tcPr>
          <w:p w14:paraId="00F8DB02">
            <w:pPr>
              <w:rPr>
                <w:rFonts w:hint="default" w:ascii="Calibri" w:hAnsi="Calibri" w:cs="Calibri"/>
              </w:rPr>
            </w:pPr>
            <w:r>
              <w:rPr>
                <w:rFonts w:hint="default" w:ascii="Calibri" w:hAnsi="Calibri" w:cs="Calibri"/>
              </w:rP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F071672">
            <w:pPr>
              <w:rPr>
                <w:rFonts w:hint="default" w:ascii="Calibri" w:hAnsi="Calibri" w:cs="Calibri"/>
              </w:rPr>
            </w:pPr>
            <w:r>
              <w:rPr>
                <w:rFonts w:hint="default" w:ascii="Calibri" w:hAnsi="Calibri" w:cs="Calibri"/>
              </w:rP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6DB4B0">
            <w:pPr>
              <w:rPr>
                <w:rFonts w:hint="default" w:ascii="Calibri" w:hAnsi="Calibri" w:cs="Calibri"/>
              </w:rPr>
            </w:pPr>
            <w:r>
              <w:rPr>
                <w:rFonts w:hint="default" w:ascii="Calibri" w:hAnsi="Calibri" w:cs="Calibri"/>
              </w:rP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0FEB98">
            <w:pPr>
              <w:rPr>
                <w:rFonts w:hint="default" w:ascii="Calibri" w:hAnsi="Calibri" w:cs="Calibri"/>
              </w:rPr>
            </w:pPr>
            <w:r>
              <w:rPr>
                <w:rFonts w:hint="default" w:ascii="Calibri" w:hAnsi="Calibri" w:cs="Calibri"/>
              </w:rPr>
              <w:t>0.99 (0.32–3.08)</w:t>
            </w:r>
          </w:p>
        </w:tc>
        <w:tc>
          <w:tcPr>
            <w:tcW w:w="1701" w:type="dxa"/>
          </w:tcPr>
          <w:p w14:paraId="339420A5">
            <w:pPr>
              <w:rPr>
                <w:rFonts w:hint="default" w:ascii="Calibri" w:hAnsi="Calibri" w:cs="Calibri"/>
              </w:rPr>
            </w:pPr>
            <w:r>
              <w:rPr>
                <w:rFonts w:hint="default" w:ascii="Calibri" w:hAnsi="Calibri" w:cs="Calibri"/>
              </w:rP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7B75B0">
            <w:pPr>
              <w:rPr>
                <w:rFonts w:hint="default" w:ascii="Calibri" w:hAnsi="Calibri" w:cs="Calibri"/>
              </w:rPr>
            </w:pPr>
            <w:r>
              <w:rPr>
                <w:rFonts w:hint="default" w:ascii="Calibri" w:hAnsi="Calibri" w:cs="Calibri"/>
              </w:rP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EB48A9">
            <w:pPr>
              <w:rPr>
                <w:rFonts w:hint="default" w:ascii="Calibri" w:hAnsi="Calibri" w:cs="Calibri"/>
              </w:rPr>
            </w:pPr>
            <w:r>
              <w:rPr>
                <w:rFonts w:hint="default" w:ascii="Calibri" w:hAnsi="Calibri" w:cs="Calibri"/>
              </w:rP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F0C72B">
            <w:pPr>
              <w:rPr>
                <w:rFonts w:hint="default" w:ascii="Calibri" w:hAnsi="Calibri" w:cs="Calibri"/>
              </w:rPr>
            </w:pPr>
            <w:r>
              <w:rPr>
                <w:rFonts w:hint="default" w:ascii="Calibri" w:hAnsi="Calibri" w:cs="Calibri"/>
              </w:rPr>
              <w:t>0.82 (0.31–2.21)</w:t>
            </w:r>
          </w:p>
        </w:tc>
        <w:tc>
          <w:tcPr>
            <w:tcW w:w="1701" w:type="dxa"/>
          </w:tcPr>
          <w:p w14:paraId="45483AA1">
            <w:pPr>
              <w:rPr>
                <w:rFonts w:hint="default" w:ascii="Calibri" w:hAnsi="Calibri" w:cs="Calibri"/>
              </w:rPr>
            </w:pPr>
            <w:r>
              <w:rPr>
                <w:rFonts w:hint="default" w:ascii="Calibri" w:hAnsi="Calibri" w:cs="Calibri"/>
              </w:rP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6277B2">
            <w:pPr>
              <w:rPr>
                <w:rFonts w:hint="default" w:ascii="Calibri" w:hAnsi="Calibri" w:cs="Calibri"/>
              </w:rPr>
            </w:pPr>
            <w:r>
              <w:rPr>
                <w:rFonts w:hint="default" w:ascii="Calibri" w:hAnsi="Calibri" w:cs="Calibri"/>
              </w:rP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613699">
            <w:pPr>
              <w:rPr>
                <w:rFonts w:hint="default" w:ascii="Calibri" w:hAnsi="Calibri" w:cs="Calibri"/>
              </w:rPr>
            </w:pPr>
            <w:r>
              <w:rPr>
                <w:rFonts w:hint="default" w:ascii="Calibri" w:hAnsi="Calibri" w:cs="Calibri"/>
              </w:rP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E1F304">
            <w:pPr>
              <w:rPr>
                <w:rFonts w:hint="default" w:ascii="Calibri" w:hAnsi="Calibri" w:cs="Calibri"/>
              </w:rPr>
            </w:pPr>
            <w:r>
              <w:rPr>
                <w:rFonts w:hint="default" w:ascii="Calibri" w:hAnsi="Calibri" w:cs="Calibri"/>
              </w:rPr>
              <w:t>1.56 (0.29–8.52)</w:t>
            </w:r>
          </w:p>
        </w:tc>
        <w:tc>
          <w:tcPr>
            <w:tcW w:w="1701" w:type="dxa"/>
          </w:tcPr>
          <w:p w14:paraId="1F6F8618">
            <w:pPr>
              <w:rPr>
                <w:rFonts w:hint="default" w:ascii="Calibri" w:hAnsi="Calibri" w:cs="Calibri"/>
              </w:rPr>
            </w:pPr>
            <w:r>
              <w:rPr>
                <w:rFonts w:hint="default" w:ascii="Calibri" w:hAnsi="Calibri" w:cs="Calibri"/>
              </w:rP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218DB0">
            <w:pPr>
              <w:rPr>
                <w:rFonts w:hint="default" w:ascii="Calibri" w:hAnsi="Calibri" w:cs="Calibri"/>
              </w:rPr>
            </w:pPr>
            <w:r>
              <w:rPr>
                <w:rFonts w:hint="default" w:ascii="Calibri" w:hAnsi="Calibri" w:cs="Calibri"/>
              </w:rP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9F31A7">
            <w:pPr>
              <w:rPr>
                <w:rFonts w:hint="default" w:ascii="Calibri" w:hAnsi="Calibri" w:cs="Calibri"/>
              </w:rPr>
            </w:pPr>
            <w:r>
              <w:rPr>
                <w:rFonts w:hint="default" w:ascii="Calibri" w:hAnsi="Calibri" w:cs="Calibri"/>
              </w:rP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D2E07">
            <w:pPr>
              <w:rPr>
                <w:rFonts w:hint="default" w:ascii="Calibri" w:hAnsi="Calibri" w:cs="Calibri"/>
              </w:rPr>
            </w:pPr>
            <w:r>
              <w:rPr>
                <w:rFonts w:hint="default" w:ascii="Calibri" w:hAnsi="Calibri" w:cs="Calibri"/>
              </w:rPr>
              <w:t>0.88 (0.60–1.31)</w:t>
            </w:r>
          </w:p>
        </w:tc>
        <w:tc>
          <w:tcPr>
            <w:tcW w:w="1701" w:type="dxa"/>
          </w:tcPr>
          <w:p w14:paraId="356CDD63">
            <w:pPr>
              <w:rPr>
                <w:rFonts w:hint="default" w:ascii="Calibri" w:hAnsi="Calibri" w:cs="Calibri"/>
              </w:rPr>
            </w:pPr>
            <w:r>
              <w:rPr>
                <w:rFonts w:hint="default" w:ascii="Calibri" w:hAnsi="Calibri" w:cs="Calibri"/>
              </w:rP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A54FBC">
            <w:pPr>
              <w:rPr>
                <w:rFonts w:hint="default" w:ascii="Calibri" w:hAnsi="Calibri" w:cs="Calibri"/>
              </w:rPr>
            </w:pPr>
            <w:r>
              <w:rPr>
                <w:rFonts w:hint="default" w:ascii="Calibri" w:hAnsi="Calibri" w:cs="Calibri"/>
              </w:rP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457642">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D9212">
            <w:pPr>
              <w:rPr>
                <w:rFonts w:hint="default" w:ascii="Calibri" w:hAnsi="Calibri" w:cs="Calibri"/>
              </w:rPr>
            </w:pPr>
            <w:r>
              <w:rPr>
                <w:rFonts w:hint="default" w:ascii="Calibri" w:hAnsi="Calibri" w:cs="Calibri"/>
              </w:rPr>
              <w:t>—</w:t>
            </w:r>
          </w:p>
        </w:tc>
        <w:tc>
          <w:tcPr>
            <w:tcW w:w="1701" w:type="dxa"/>
          </w:tcPr>
          <w:p w14:paraId="342542D7">
            <w:pPr>
              <w:rPr>
                <w:rFonts w:hint="default" w:ascii="Calibri" w:hAnsi="Calibri" w:cs="Calibri"/>
              </w:rPr>
            </w:pPr>
            <w:r>
              <w:rPr>
                <w:rFonts w:hint="default" w:ascii="Calibri" w:hAnsi="Calibri" w:cs="Calibri"/>
              </w:rP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357BAE">
            <w:pPr>
              <w:rPr>
                <w:rFonts w:hint="default" w:ascii="Calibri" w:hAnsi="Calibri" w:cs="Calibri"/>
              </w:rPr>
            </w:pPr>
            <w:r>
              <w:rPr>
                <w:rFonts w:hint="default" w:ascii="Calibri" w:hAnsi="Calibri" w:cs="Calibri"/>
              </w:rP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4094B6">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04D304">
            <w:pPr>
              <w:rPr>
                <w:rFonts w:hint="default" w:ascii="Calibri" w:hAnsi="Calibri" w:cs="Calibri"/>
              </w:rPr>
            </w:pPr>
            <w:r>
              <w:rPr>
                <w:rFonts w:hint="default" w:ascii="Calibri" w:hAnsi="Calibri" w:cs="Calibri"/>
              </w:rPr>
              <w:t>—</w:t>
            </w:r>
          </w:p>
        </w:tc>
        <w:tc>
          <w:tcPr>
            <w:tcW w:w="1701" w:type="dxa"/>
          </w:tcPr>
          <w:p w14:paraId="3CA844CA">
            <w:pPr>
              <w:rPr>
                <w:rFonts w:hint="default" w:ascii="Calibri" w:hAnsi="Calibri" w:cs="Calibri"/>
              </w:rPr>
            </w:pPr>
            <w:r>
              <w:rPr>
                <w:rFonts w:hint="default" w:ascii="Calibri" w:hAnsi="Calibri" w:cs="Calibri"/>
              </w:rP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89FCEC">
            <w:pPr>
              <w:rPr>
                <w:rFonts w:hint="default" w:ascii="Calibri" w:hAnsi="Calibri" w:cs="Calibri"/>
              </w:rPr>
            </w:pPr>
            <w:r>
              <w:rPr>
                <w:rFonts w:hint="default" w:ascii="Calibri" w:hAnsi="Calibri" w:cs="Calibri"/>
              </w:rP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9D2215">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EC27BE">
            <w:pPr>
              <w:rPr>
                <w:rFonts w:hint="default" w:ascii="Calibri" w:hAnsi="Calibri" w:cs="Calibri"/>
              </w:rPr>
            </w:pPr>
            <w:r>
              <w:rPr>
                <w:rFonts w:hint="default" w:ascii="Calibri" w:hAnsi="Calibri" w:cs="Calibri"/>
              </w:rPr>
              <w:t>—</w:t>
            </w:r>
          </w:p>
        </w:tc>
        <w:tc>
          <w:tcPr>
            <w:tcW w:w="1701" w:type="dxa"/>
          </w:tcPr>
          <w:p w14:paraId="146D1BE2">
            <w:pPr>
              <w:rPr>
                <w:rFonts w:hint="default" w:ascii="Calibri" w:hAnsi="Calibri" w:cs="Calibri"/>
              </w:rPr>
            </w:pPr>
            <w:r>
              <w:rPr>
                <w:rFonts w:hint="default" w:ascii="Calibri" w:hAnsi="Calibri" w:cs="Calibri"/>
              </w:rP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rPr>
          <w:rFonts w:hint="default" w:ascii="Calibri" w:hAnsi="Calibri" w:cs="Calibri"/>
        </w:rP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S2, where Holm-adjusted P values are tabulated († marks the two terms whose Holm-adjusted P &lt; 0.05: AMD age and DR severe/proliferative). Income is reported once per model and must not be conflated across columns; missing-data sensitivity is in Supplementary Table S3.</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3883DF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240" w:after="240"/>
      <w:outlineLvl w:val="0"/>
    </w:pPr>
    <w:rPr>
      <w:rFonts w:ascii="Arial" w:hAnsi="Arial" w:eastAsia="Arial" w:cs="Arial"/>
      <w:b/>
      <w:bCs/>
      <w:color w:val="000000"/>
      <w:sz w:val="32"/>
      <w:szCs w:val="32"/>
    </w:rPr>
  </w:style>
  <w:style w:type="paragraph" w:styleId="3">
    <w:name w:val="heading 2"/>
    <w:next w:val="1"/>
    <w:qFormat/>
    <w:uiPriority w:val="0"/>
    <w:pPr>
      <w:spacing w:before="180" w:after="180"/>
      <w:outlineLvl w:val="1"/>
    </w:pPr>
    <w:rPr>
      <w:rFonts w:ascii="Arial" w:hAnsi="Arial" w:eastAsia="Arial" w:cs="Arial"/>
      <w:b/>
      <w:bCs/>
      <w:color w:val="000000"/>
      <w:sz w:val="28"/>
      <w:szCs w:val="28"/>
    </w:rPr>
  </w:style>
  <w:style w:type="paragraph" w:styleId="4">
    <w:name w:val="heading 3"/>
    <w:next w:val="1"/>
    <w:qFormat/>
    <w:uiPriority w:val="0"/>
    <w:pPr>
      <w:spacing w:before="120" w:after="120"/>
      <w:outlineLvl w:val="2"/>
    </w:pPr>
    <w:rPr>
      <w:rFonts w:ascii="Arial" w:hAnsi="Arial" w:eastAsia="Arial" w:cs="Arial"/>
      <w:b/>
      <w:bCs/>
      <w:color w:val="000000"/>
      <w:sz w:val="26"/>
      <w:szCs w:val="26"/>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semiHidden/>
    <w:unhideWhenUsed/>
    <w:uiPriority w:val="99"/>
    <w:pPr>
      <w:spacing w:after="0" w:line="240" w:lineRule="auto"/>
    </w:pPr>
    <w:rPr>
      <w:rFonts w:ascii="Arial" w:hAnsi="Arial" w:eastAsia="Arial" w:cs="Arial"/>
      <w:sz w:val="20"/>
      <w:szCs w:val="20"/>
    </w:rPr>
  </w:style>
  <w:style w:type="paragraph" w:styleId="12">
    <w:name w:val="Title"/>
    <w:qFormat/>
    <w:uiPriority w:val="0"/>
    <w:rPr>
      <w:rFonts w:ascii="Arial" w:hAnsi="Arial" w:eastAsia="Arial" w:cs="Arial"/>
      <w:sz w:val="56"/>
      <w:szCs w:val="56"/>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Arial" w:hAnsi="Arial" w:eastAsia="Arial" w:cs="Arial"/>
      <w:sz w:val="24"/>
      <w:szCs w:val="24"/>
    </w:rPr>
  </w:style>
  <w:style w:type="character" w:customStyle="1" w:styleId="19">
    <w:name w:val="Footnote Text Char"/>
    <w:link w:val="11"/>
    <w:semiHidden/>
    <w:unhideWhenUsed/>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3" Type="http://schemas.openxmlformats.org/officeDocument/2006/relationships/image" Target="media/image6.png"/><Relationship Id="rId5" Type="http://schemas.openxmlformats.org/officeDocument/2006/relationships/image" Target="media/image1.png"/><Relationship Id="rId7"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5868</Words>
  <Characters>36945</Characters>
  <TotalTime>1</TotalTime>
  <ScaleCrop>false</ScaleCrop>
  <LinksUpToDate>false</LinksUpToDate>
  <CharactersWithSpaces>42741</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2026-10-31T15:48:47Z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