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56D50F">
      <w:pPr>
        <w:pStyle w:val="2"/>
        <w:spacing w:line="360" w:lineRule="auto"/>
        <w:rPr>
          <w:rFonts w:hint="default" w:ascii="Calibri" w:hAnsi="Calibri" w:cs="Calibri"/>
        </w:rPr>
      </w:pPr>
      <w:r>
        <w:rPr>
          <w:rFonts w:hint="default" w:ascii="Calibri" w:hAnsi="Calibri" w:eastAsia="Arial" w:cs="Calibri"/>
          <w:b/>
        </w:rPr>
        <w:t>Objectively graded retinal disease, self-reported diagnosis, and eye-care utilisation in US adults</w:t>
      </w:r>
    </w:p>
    <w:p w14:paraId="53F47266">
      <w:pPr>
        <w:spacing w:after="120" w:line="360" w:lineRule="auto"/>
        <w:rPr>
          <w:rFonts w:hint="default" w:ascii="Calibri" w:hAnsi="Calibri" w:eastAsia="宋体" w:cs="Calibri"/>
          <w:lang w:val="en-US" w:eastAsia="zh-CN"/>
        </w:rPr>
      </w:pPr>
      <w:r>
        <w:rPr>
          <w:rFonts w:hint="default" w:ascii="Calibri" w:hAnsi="Calibri" w:eastAsia="Arial" w:cs="Calibri"/>
          <w:b w:val="0"/>
        </w:rPr>
        <w:t>Jianhuang Huang¹</w:t>
      </w:r>
      <w:r>
        <w:rPr>
          <w:rFonts w:hint="default" w:ascii="Calibri" w:hAnsi="Calibri" w:eastAsia="宋体" w:cs="Calibri"/>
          <w:b w:val="0"/>
          <w:lang w:val="en-US" w:eastAsia="zh-CN"/>
        </w:rPr>
        <w:t>*</w:t>
      </w:r>
      <w:r>
        <w:rPr>
          <w:rFonts w:hint="default" w:ascii="Calibri" w:hAnsi="Calibri" w:eastAsia="Arial" w:cs="Calibri"/>
          <w:b w:val="0"/>
          <w:i/>
          <w:iCs/>
        </w:rPr>
        <w:t>, Jing Wang²</w:t>
      </w:r>
      <w:r>
        <w:rPr>
          <w:rFonts w:hint="default" w:ascii="Calibri" w:hAnsi="Calibri" w:eastAsia="宋体" w:cs="Calibri"/>
          <w:b w:val="0"/>
          <w:i/>
          <w:iCs/>
          <w:lang w:val="en-US" w:eastAsia="zh-CN"/>
        </w:rPr>
        <w:t>*</w:t>
      </w:r>
    </w:p>
    <w:p w14:paraId="21B731FF">
      <w:pPr>
        <w:spacing w:after="120" w:line="360" w:lineRule="auto"/>
        <w:rPr>
          <w:rFonts w:hint="default" w:ascii="Calibri" w:hAnsi="Calibri" w:eastAsia="Arial" w:cs="Calibri"/>
        </w:rPr>
      </w:pPr>
      <w:r>
        <w:rPr>
          <w:rFonts w:hint="default" w:ascii="Calibri" w:hAnsi="Calibri" w:eastAsia="Arial" w:cs="Calibri"/>
          <w:b w:val="0"/>
        </w:rPr>
        <w:t xml:space="preserve"> ¹ Department of Neurosurgery, Affiliated Hospital of Putian University, Putian, Fujian, China. </w:t>
      </w:r>
    </w:p>
    <w:p w14:paraId="02814219">
      <w:pPr>
        <w:spacing w:after="120" w:line="360" w:lineRule="auto"/>
        <w:rPr>
          <w:rFonts w:hint="default" w:ascii="Calibri" w:hAnsi="Calibri" w:cs="Calibri"/>
        </w:rPr>
      </w:pPr>
      <w:r>
        <w:rPr>
          <w:rFonts w:hint="default" w:ascii="Calibri" w:hAnsi="Calibri" w:eastAsia="Arial" w:cs="Calibri"/>
          <w:b w:val="0"/>
        </w:rPr>
        <w:t>² Eye Institute of Shandong First Medical University; Qingdao Eye Hospital of Shandong First Medical University, Qingdao, Shandong, China.</w:t>
      </w:r>
    </w:p>
    <w:p w14:paraId="4093AF82">
      <w:pPr>
        <w:spacing w:after="120" w:line="360" w:lineRule="auto"/>
        <w:rPr>
          <w:rFonts w:hint="default" w:ascii="Calibri" w:hAnsi="Calibri" w:cs="Calibri"/>
        </w:rPr>
      </w:pPr>
      <w:r>
        <w:rPr>
          <w:rFonts w:hint="default" w:ascii="Calibri" w:hAnsi="Calibri" w:eastAsia="Arial" w:cs="Calibri"/>
          <w:b w:val="0"/>
          <w:bCs w:val="0"/>
        </w:rPr>
        <w:t xml:space="preserve">Corresponding authors: </w:t>
      </w:r>
      <w:r>
        <w:rPr>
          <w:rFonts w:hint="default" w:ascii="Calibri" w:hAnsi="Calibri" w:eastAsia="Arial" w:cs="Calibri"/>
          <w:b w:val="0"/>
        </w:rPr>
        <w:t>Jianhuang Huang (teamhuang@sina.com); Jing Wang (13273530801@163.com)</w:t>
      </w:r>
    </w:p>
    <w:p w14:paraId="3F481B94">
      <w:pPr>
        <w:pStyle w:val="3"/>
        <w:spacing w:line="360" w:lineRule="auto"/>
        <w:rPr>
          <w:rFonts w:hint="default" w:ascii="Calibri" w:hAnsi="Calibri" w:cs="Calibri"/>
        </w:rPr>
      </w:pPr>
      <w:r>
        <w:rPr>
          <w:rFonts w:hint="default" w:ascii="Calibri" w:hAnsi="Calibri" w:eastAsia="Arial" w:cs="Calibri"/>
          <w:b/>
        </w:rPr>
        <w:t>Abstract</w:t>
      </w:r>
    </w:p>
    <w:p w14:paraId="28047229">
      <w:pPr>
        <w:spacing w:after="120" w:line="360" w:lineRule="auto"/>
        <w:rPr>
          <w:rFonts w:hint="default" w:ascii="Calibri" w:hAnsi="Calibri" w:cs="Calibri"/>
          <w:b w:val="0"/>
        </w:rPr>
      </w:pPr>
      <w:r>
        <w:rPr>
          <w:rFonts w:hint="default" w:ascii="Calibri" w:hAnsi="Calibri" w:cs="Calibri"/>
          <w:b w:val="0"/>
        </w:rPr>
        <w:t>The relationship between objectively graded retinal disease, patient-reported diagnosis and eye-care use remains incompletely characterised across diabetic retinopathy and age-related macular degeneration in nationally representative US data. We combined centrally graded retinal photographs with self-reported diagnoses and eye-examination history from US adults aged ≥40 in NHANES 2005–2008 (n = 6,797), using the 2016 National Health Interview Survey (NHIS) as a contextual benchmark and survey weights with design-based confidence intervals among item responders. Among adults with diabetes and objectively graded retinopathy, 70.2% (63.8–75.9) reported no prior diabetic-eye diagnosis; among those with objectively graded age-related macular degeneration (AMD), 82.2% (77.3–86.2) reported none, including 41.4% (25.3–59.6) with late AMD. Within the diabetic-retinopathy group, 32.4% (25.9–39.7) reported no dilated examination within 12 months. Greater severity was associated with higher reported awareness, and in an exploratory adjusted analysis a recent dilated examination was associated with lower odds of no reported diagnosis (adjusted OR 0.30, 0.10–0.92), although this did not survive multiple-testing correction. Objectively graded AMD prevalence (6.58%) exceeded age-standardised self-report (2.45%); this is a contextual comparison, not a paired one. These findings document substantial discordance between retinal imaging, patient-reported diagnosis and eye-care use in a historical US population and do not alone establish clinical underdiagnosis.</w:t>
      </w:r>
    </w:p>
    <w:p w14:paraId="77D28A9C">
      <w:pPr>
        <w:spacing w:after="120" w:line="360" w:lineRule="auto"/>
        <w:rPr>
          <w:rFonts w:hint="default" w:ascii="Calibri" w:hAnsi="Calibri" w:cs="Calibri"/>
        </w:rPr>
      </w:pPr>
      <w:r>
        <w:rPr>
          <w:rFonts w:hint="default" w:ascii="Calibri" w:hAnsi="Calibri" w:eastAsia="Arial" w:cs="Calibri"/>
          <w:b w:val="0"/>
          <w:bCs w:val="0"/>
        </w:rPr>
        <w:t xml:space="preserve">Keywords: </w:t>
      </w:r>
      <w:r>
        <w:rPr>
          <w:rFonts w:hint="default" w:ascii="Calibri" w:hAnsi="Calibri" w:eastAsia="Arial" w:cs="Calibri"/>
          <w:b w:val="0"/>
        </w:rPr>
        <w:t>diabetic retinopathy; age-related macular degeneration; diagnosis awareness; health services utilisation; NHANES; NHIS</w:t>
      </w:r>
    </w:p>
    <w:p w14:paraId="17D55B90">
      <w:pPr>
        <w:spacing w:after="120" w:line="360" w:lineRule="auto"/>
        <w:rPr>
          <w:rFonts w:hint="default" w:ascii="Calibri" w:hAnsi="Calibri" w:cs="Calibri"/>
          <w:b w:val="0"/>
        </w:rPr>
      </w:pPr>
    </w:p>
    <w:p w14:paraId="7B6F8D53">
      <w:pPr>
        <w:pStyle w:val="3"/>
        <w:spacing w:line="360" w:lineRule="auto"/>
        <w:rPr>
          <w:rFonts w:hint="default" w:ascii="Calibri" w:hAnsi="Calibri" w:cs="Calibri"/>
        </w:rPr>
      </w:pPr>
      <w:r>
        <w:rPr>
          <w:rFonts w:hint="default" w:ascii="Calibri" w:hAnsi="Calibri" w:eastAsia="Arial" w:cs="Calibri"/>
          <w:b/>
        </w:rPr>
        <w:t>Introduction</w:t>
      </w:r>
    </w:p>
    <w:p w14:paraId="0ECD752A">
      <w:pPr>
        <w:spacing w:after="120" w:line="360" w:lineRule="auto"/>
        <w:rPr>
          <w:rFonts w:hint="default" w:ascii="Calibri" w:hAnsi="Calibri" w:cs="Calibri"/>
        </w:rPr>
      </w:pPr>
      <w:r>
        <w:rPr>
          <w:rFonts w:hint="default" w:ascii="Calibri" w:hAnsi="Calibri" w:cs="Calibri"/>
          <w:b w:val="0"/>
        </w:rPr>
        <w:t>Diabetic retinopathy and age-related macular degeneration (AMD) are leading causes of irreversible vision loss and account for a large share of global blindness and moderate-to-severe visual impairment.¹,² Diabetic retinopathy is usually asymptomatic until advanced proliferative diabetic retinopathy or diabetic macular oedema develops, whereas early age-related macular degeneration (AMD) is often subclinical with progression to late AMD causing irreversible central vision loss; both are detectable on retinal examination and treatable in their advanced forms through glycaemic and blood-pressure control, laser photocoagulation, and anti–vascular endothelial growth factor therapy.³,⁴,⁵ Their public-health impact therefore depends not only on how much disease exists but on how much of it is recognised and brought into care.</w:t>
      </w:r>
    </w:p>
    <w:p w14:paraId="79800621">
      <w:pPr>
        <w:spacing w:after="120" w:line="360" w:lineRule="auto"/>
        <w:rPr>
          <w:rFonts w:hint="default" w:ascii="Calibri" w:hAnsi="Calibri" w:cs="Calibri"/>
        </w:rPr>
      </w:pPr>
      <w:r>
        <w:rPr>
          <w:rFonts w:hint="default" w:ascii="Calibri" w:hAnsi="Calibri" w:cs="Calibri"/>
          <w:b w:val="0"/>
        </w:rPr>
        <w:t>National surveys have measured the prevalence of these conditions extensively.⁶,⁷,⁸ More recently they have also begun to measure awareness and undiagnosed disease: recent work has quantified social determinants of diabetic-retinopathy awareness in NHANES 2005–2008,⁹ and the burden of undiagnosed age-related eye disease among older adults has been described elsewhere.¹⁰,¹¹ A persistent obstacle is that most datasets capture only one side of the ledger. Self-report surveys such as the National Health Interview Survey (NHIS) record who has entered the health system but are blind to disease that was never diagnosed.¹² Imaging cohorts record disease that exists but often lack matched self-report of diagnosis and care.</w:t>
      </w:r>
    </w:p>
    <w:p w14:paraId="35A311D5">
      <w:pPr>
        <w:spacing w:after="120" w:line="360" w:lineRule="auto"/>
        <w:rPr>
          <w:rFonts w:hint="default" w:ascii="Calibri" w:hAnsi="Calibri" w:cs="Calibri"/>
        </w:rPr>
      </w:pPr>
      <w:r>
        <w:rPr>
          <w:rFonts w:hint="default" w:ascii="Calibri" w:hAnsi="Calibri" w:eastAsia="Arial" w:cs="Calibri"/>
          <w:b w:val="0"/>
        </w:rPr>
        <w:t xml:space="preserve">NHANES 2005–2008 is a rare nationally representative resource that collected centrally graded retinal photographs </w:t>
      </w:r>
      <w:r>
        <w:rPr>
          <w:rFonts w:hint="default" w:ascii="Calibri" w:hAnsi="Calibri" w:eastAsia="Arial" w:cs="Calibri"/>
          <w:b w:val="0"/>
          <w:bCs/>
        </w:rPr>
        <w:t>and</w:t>
      </w:r>
      <w:r>
        <w:rPr>
          <w:rFonts w:hint="default" w:ascii="Calibri" w:hAnsi="Calibri" w:eastAsia="Arial" w:cs="Calibri"/>
          <w:b w:val="0"/>
        </w:rPr>
        <w:t xml:space="preserve"> self-reported physician-diagnosed eye disease, diabetic eye-examination history, and health-insurance/utilisation information in the </w:t>
      </w:r>
      <w:r>
        <w:rPr>
          <w:rFonts w:hint="default" w:ascii="Calibri" w:hAnsi="Calibri" w:eastAsia="Arial" w:cs="Calibri"/>
          <w:b w:val="0"/>
          <w:i/>
          <w:iCs/>
        </w:rPr>
        <w:t>same</w:t>
      </w:r>
      <w:r>
        <w:rPr>
          <w:rFonts w:hint="default" w:ascii="Calibri" w:hAnsi="Calibri" w:eastAsia="Arial" w:cs="Calibri"/>
          <w:b w:val="0"/>
        </w:rPr>
        <w:t xml:space="preserve"> examined adults aged ≥40.¹³ This allows an individual-level measurement of the concordance between three quantities usually studied separately: objectively graded disease, patient-reported diagnosis, and eye-care utilisation.</w:t>
      </w:r>
    </w:p>
    <w:p w14:paraId="6EF3D751">
      <w:pPr>
        <w:spacing w:after="120" w:line="360" w:lineRule="auto"/>
        <w:rPr>
          <w:rFonts w:hint="default" w:ascii="Calibri" w:hAnsi="Calibri" w:cs="Calibri"/>
        </w:rPr>
      </w:pPr>
      <w:r>
        <w:rPr>
          <w:rFonts w:hint="default" w:ascii="Calibri" w:hAnsi="Calibri" w:cs="Calibri"/>
          <w:b w:val="0"/>
        </w:rPr>
        <w:t>We therefore aimed to (i) quantify, in US adults ≥40, the proportion of objectively graded retinopathy in diabetes and of AMD that carries no self-reported diagnosis, and the proportion of at-risk people with diabetes not receiving recommended eye care; (ii) describe how this discordance varies with disease severity and across age strata; (iii) examine whether sociodemographic, access, and eye-care-utilisation factors are associated with having no reported diagnosis; and (iv) benchmark the self-reported side against an independent national survey (NHIS 2016) with age-standardisation.</w:t>
      </w:r>
    </w:p>
    <w:p w14:paraId="288994E2">
      <w:pPr>
        <w:pStyle w:val="3"/>
        <w:spacing w:line="360" w:lineRule="auto"/>
        <w:rPr>
          <w:rFonts w:hint="default" w:ascii="Calibri" w:hAnsi="Calibri" w:cs="Calibri"/>
        </w:rPr>
      </w:pPr>
      <w:r>
        <w:rPr>
          <w:rFonts w:hint="default" w:ascii="Calibri" w:hAnsi="Calibri" w:eastAsia="Arial" w:cs="Calibri"/>
          <w:b/>
        </w:rPr>
        <w:t>Methods</w:t>
      </w:r>
    </w:p>
    <w:p w14:paraId="3D5B0F89">
      <w:pPr>
        <w:pStyle w:val="4"/>
        <w:spacing w:line="360" w:lineRule="auto"/>
        <w:rPr>
          <w:rFonts w:hint="default" w:ascii="Calibri" w:hAnsi="Calibri" w:cs="Calibri"/>
        </w:rPr>
      </w:pPr>
      <w:r>
        <w:rPr>
          <w:rFonts w:hint="default" w:ascii="Calibri" w:hAnsi="Calibri" w:eastAsia="Arial" w:cs="Calibri"/>
          <w:b/>
        </w:rPr>
        <w:t>Study design and data sources</w:t>
      </w:r>
    </w:p>
    <w:p w14:paraId="3CCBE0BB">
      <w:pPr>
        <w:spacing w:after="120" w:line="360" w:lineRule="auto"/>
        <w:rPr>
          <w:rFonts w:hint="default" w:ascii="Calibri" w:hAnsi="Calibri" w:cs="Calibri"/>
        </w:rPr>
      </w:pPr>
      <w:r>
        <w:rPr>
          <w:rFonts w:hint="default" w:ascii="Calibri" w:hAnsi="Calibri" w:eastAsia="Arial" w:cs="Calibri"/>
          <w:b w:val="0"/>
        </w:rPr>
        <w:t>This was a cross-sectional analysis of de-identified public-use data and was exempt from further institutional review; NHANES and NHIS protocols were approved by the National Center for Health Statistics (NCHS) Research Ethics Review Board and all participants gave written informed consent.¹²,¹³ Reporting follows the STROBE statement for observational studies.¹⁴ No formal sample-size calculation was performed (secondary analysis of existing cohorts).</w:t>
      </w:r>
    </w:p>
    <w:p w14:paraId="0C96413A">
      <w:pPr>
        <w:spacing w:after="120" w:line="360" w:lineRule="auto"/>
        <w:rPr>
          <w:rFonts w:hint="default" w:ascii="Calibri" w:hAnsi="Calibri" w:cs="Calibri"/>
        </w:rPr>
      </w:pPr>
      <w:r>
        <w:rPr>
          <w:rFonts w:hint="default" w:ascii="Calibri" w:hAnsi="Calibri" w:eastAsia="Arial" w:cs="Calibri"/>
          <w:b w:val="0"/>
        </w:rPr>
        <w:t xml:space="preserve">The main analysis pooled NHANES 2005–2006 and 2007–2008 (n = 6,797 examined adults ≥40 with retinal photography). NHANES uses a stratified, multistage probability design represented by mobile-examination-centre (MEC) weights.¹³,¹⁵ Retinal photography was offered to all examined participants aged ≥40 without contraindication; the retinal dataset equals the examined ≥40 sample rather than a random subsample, so the standard MEC examination weight applies without a separate subsample adjustment (verified: retinal-fundus records match the examined-≥40 counts exactly). Two-year MEC weights (WTMEC2YR) were divided by two when pooling the two cycles, with design identifiers SDMVSTRA (strata) and SDMVPSU (PSU) and design-based (Taylor linearisation) variance estimation, using the </w:t>
      </w:r>
      <w:r>
        <w:rPr>
          <w:rFonts w:hint="default" w:ascii="Calibri" w:hAnsi="Calibri" w:eastAsia="Consolas" w:cs="Calibri"/>
          <w:b w:val="0"/>
        </w:rPr>
        <w:t>survey.lonely.psu = "adjust"</w:t>
      </w:r>
      <w:r>
        <w:rPr>
          <w:rFonts w:hint="default" w:ascii="Calibri" w:hAnsi="Calibri" w:eastAsia="Arial" w:cs="Calibri"/>
          <w:b w:val="0"/>
        </w:rPr>
        <w:t xml:space="preserve"> option for lone primary sampling units. Health-insurance coverage (HIQ011) and usual source of care (HUQ030) were obtained from the NHANES health-utilisation and insurance questionnaires. The 2016 NHIS Sample Adult file (n = 22,371 adults ≥40) provided a cross-survey benchmark of self-reported disease and eye-care utilisation, with its own design identifiers (VARPSU, VARSTRAT) and annual sample-adult weight (WTSSA);¹² because the two surveys use different frames and non-overlapping respondents, records were not merged at the individual level.</w:t>
      </w:r>
    </w:p>
    <w:p w14:paraId="7869C2CF">
      <w:pPr>
        <w:pStyle w:val="4"/>
        <w:spacing w:line="360" w:lineRule="auto"/>
        <w:rPr>
          <w:rFonts w:hint="default" w:ascii="Calibri" w:hAnsi="Calibri" w:cs="Calibri"/>
        </w:rPr>
      </w:pPr>
      <w:r>
        <w:rPr>
          <w:rFonts w:hint="default" w:ascii="Calibri" w:hAnsi="Calibri" w:eastAsia="Arial" w:cs="Calibri"/>
          <w:b/>
        </w:rPr>
        <w:t>Objective retinal grading</w:t>
      </w:r>
    </w:p>
    <w:p w14:paraId="7B851F89">
      <w:pPr>
        <w:spacing w:after="120" w:line="360" w:lineRule="auto"/>
        <w:rPr>
          <w:rFonts w:hint="default" w:ascii="Calibri" w:hAnsi="Calibri" w:cs="Calibri"/>
        </w:rPr>
      </w:pPr>
      <w:r>
        <w:rPr>
          <w:rFonts w:hint="default" w:ascii="Calibri" w:hAnsi="Calibri" w:eastAsia="Arial" w:cs="Calibri"/>
          <w:b w:val="0"/>
        </w:rPr>
        <w:t xml:space="preserve">Retinal photographs were graded at a central reading centre following the NHANES digital grading protocol.¹³ Outcomes were analysed at the </w:t>
      </w:r>
      <w:r>
        <w:rPr>
          <w:rFonts w:hint="default" w:ascii="Calibri" w:hAnsi="Calibri" w:eastAsia="Arial" w:cs="Calibri"/>
          <w:b w:val="0"/>
          <w:bCs/>
        </w:rPr>
        <w:t>person level using the worse eye</w:t>
      </w:r>
      <w:r>
        <w:rPr>
          <w:rFonts w:hint="default" w:ascii="Calibri" w:hAnsi="Calibri" w:eastAsia="Arial" w:cs="Calibri"/>
          <w:b w:val="0"/>
        </w:rPr>
        <w:t xml:space="preserve"> (the </w:t>
      </w:r>
      <w:r>
        <w:rPr>
          <w:rFonts w:hint="default" w:ascii="Calibri" w:hAnsi="Calibri" w:eastAsia="Consolas" w:cs="Calibri"/>
          <w:b w:val="0"/>
        </w:rPr>
        <w:t>OPDU*</w:t>
      </w:r>
      <w:r>
        <w:rPr>
          <w:rFonts w:hint="default" w:ascii="Calibri" w:hAnsi="Calibri" w:eastAsia="Arial" w:cs="Calibri"/>
          <w:b w:val="0"/>
        </w:rPr>
        <w:t xml:space="preserve"> variables); eye-level measurements are aggregated, not treated as independent samples. Retinopathy was operationalised as any retinopathy on the worse eye (</w:t>
      </w:r>
      <w:r>
        <w:rPr>
          <w:rFonts w:hint="default" w:ascii="Calibri" w:hAnsi="Calibri" w:eastAsia="Consolas" w:cs="Calibri"/>
          <w:b w:val="0"/>
        </w:rPr>
        <w:t>OPDUARMA</w:t>
      </w:r>
      <w:r>
        <w:rPr>
          <w:rFonts w:hint="default" w:ascii="Calibri" w:hAnsi="Calibri" w:eastAsia="Arial" w:cs="Calibri"/>
          <w:b w:val="0"/>
        </w:rPr>
        <w:t xml:space="preserve"> = 1, "any retinopathy, worse eye"), with a four-level severity grade (</w:t>
      </w:r>
      <w:r>
        <w:rPr>
          <w:rFonts w:hint="default" w:ascii="Calibri" w:hAnsi="Calibri" w:eastAsia="Consolas" w:cs="Calibri"/>
          <w:b w:val="0"/>
        </w:rPr>
        <w:t>OPDURL4</w:t>
      </w:r>
      <w:r>
        <w:rPr>
          <w:rFonts w:hint="default" w:ascii="Calibri" w:hAnsi="Calibri" w:eastAsia="Arial" w:cs="Calibri"/>
          <w:b w:val="0"/>
        </w:rPr>
        <w:t xml:space="preserve">: 1 none / 2 mild non-proliferative / 3 moderate non-proliferative / 4 severe-or-proliferative). Because these microvascular signs are not specific to diabetes, this construct is described as </w:t>
      </w:r>
      <w:r>
        <w:rPr>
          <w:rFonts w:hint="default" w:ascii="Calibri" w:hAnsi="Calibri" w:eastAsia="Arial" w:cs="Calibri"/>
          <w:b w:val="0"/>
          <w:i/>
          <w:iCs/>
        </w:rPr>
        <w:t>retinopathy among adults with diabetes</w:t>
      </w:r>
      <w:r>
        <w:rPr>
          <w:rFonts w:hint="default" w:ascii="Calibri" w:hAnsi="Calibri" w:eastAsia="Arial" w:cs="Calibri"/>
          <w:b w:val="0"/>
        </w:rPr>
        <w:t>, and whole-population retinopathy prevalence is reported descriptively while the primary analysis is restricted to adults with diabetes. AMD was operationalised as early-or-late age-related maculopathy (</w:t>
      </w:r>
      <w:r>
        <w:rPr>
          <w:rFonts w:hint="default" w:ascii="Calibri" w:hAnsi="Calibri" w:eastAsia="Consolas" w:cs="Calibri"/>
          <w:b w:val="0"/>
        </w:rPr>
        <w:t>OPDUARM</w:t>
      </w:r>
      <w:r>
        <w:rPr>
          <w:rFonts w:hint="default" w:ascii="Calibri" w:hAnsi="Calibri" w:eastAsia="Arial" w:cs="Calibri"/>
          <w:b w:val="0"/>
        </w:rPr>
        <w:t xml:space="preserve"> ≥ 1, "age-related maculopathy, 3 severity levels, worse eye"), with late AMD defined as </w:t>
      </w:r>
      <w:r>
        <w:rPr>
          <w:rFonts w:hint="default" w:ascii="Calibri" w:hAnsi="Calibri" w:eastAsia="Consolas" w:cs="Calibri"/>
          <w:b w:val="0"/>
        </w:rPr>
        <w:t>OPDUARM</w:t>
      </w:r>
      <w:r>
        <w:rPr>
          <w:rFonts w:hint="default" w:ascii="Calibri" w:hAnsi="Calibri" w:eastAsia="Arial" w:cs="Calibri"/>
          <w:b w:val="0"/>
        </w:rPr>
        <w:t xml:space="preserve"> = 2 and further split by its worse-eye components, geographic atrophy (</w:t>
      </w:r>
      <w:r>
        <w:rPr>
          <w:rFonts w:hint="default" w:ascii="Calibri" w:hAnsi="Calibri" w:eastAsia="Consolas" w:cs="Calibri"/>
          <w:b w:val="0"/>
        </w:rPr>
        <w:t>OPDUGA</w:t>
      </w:r>
      <w:r>
        <w:rPr>
          <w:rFonts w:hint="default" w:ascii="Calibri" w:hAnsi="Calibri" w:eastAsia="Arial" w:cs="Calibri"/>
          <w:b w:val="0"/>
        </w:rPr>
        <w:t xml:space="preserve"> = 1) and exudative/neovascular AMD (</w:t>
      </w:r>
      <w:r>
        <w:rPr>
          <w:rFonts w:hint="default" w:ascii="Calibri" w:hAnsi="Calibri" w:eastAsia="Consolas" w:cs="Calibri"/>
          <w:b w:val="0"/>
        </w:rPr>
        <w:t>OPDUEXU</w:t>
      </w:r>
      <w:r>
        <w:rPr>
          <w:rFonts w:hint="default" w:ascii="Calibri" w:hAnsi="Calibri" w:eastAsia="Arial" w:cs="Calibri"/>
          <w:b w:val="0"/>
        </w:rPr>
        <w:t xml:space="preserve"> = 1). Ungradable images were excluded from the relevant analysis. Every imaging code, its official variable label, valid values and analysis recoding are tabulated in Supplementary Table S1 (variable provenance), which was compiled from the NHANES data files and public documentation.</w:t>
      </w:r>
    </w:p>
    <w:p w14:paraId="26771C5E">
      <w:pPr>
        <w:pStyle w:val="4"/>
        <w:spacing w:line="360" w:lineRule="auto"/>
        <w:rPr>
          <w:rFonts w:hint="default" w:ascii="Calibri" w:hAnsi="Calibri" w:cs="Calibri"/>
        </w:rPr>
      </w:pPr>
      <w:r>
        <w:rPr>
          <w:rFonts w:hint="default" w:ascii="Calibri" w:hAnsi="Calibri" w:eastAsia="Arial" w:cs="Calibri"/>
          <w:b/>
        </w:rPr>
        <w:t>Self-reported diagnosis, diabetes, eye care and covariates</w:t>
      </w:r>
    </w:p>
    <w:p w14:paraId="6BC1E325">
      <w:pPr>
        <w:spacing w:after="120" w:line="360" w:lineRule="auto"/>
        <w:rPr>
          <w:rFonts w:hint="default" w:ascii="Calibri" w:hAnsi="Calibri" w:cs="Calibri"/>
        </w:rPr>
      </w:pPr>
      <w:r>
        <w:rPr>
          <w:rFonts w:hint="default" w:ascii="Calibri" w:hAnsi="Calibri" w:eastAsia="Arial" w:cs="Calibri"/>
          <w:b w:val="0"/>
        </w:rPr>
        <w:t>Self-reported physician diagnosis came from the Vision and Diabetes Questionnaires (full provenance in Supplementary Table S1): ever told diabetes affected the eyes or that the person had retinopathy (DIQ080, asked only of people with diabetes); ever told of macular degeneration (VIQ310), glaucoma (VIQ090); cataract surgery (VIQ071); diagnosed diabetes (DIQ010 = 1); and timing of last dilated examination (DIQ360: &lt;1 month, 1–12 months, 13–24 months, &gt;2 years, never), coded as examined-within-12-months for categories 1–2. DIQ080 and DIQ360 are asked only of people with diabetes, which is why the eye-care-utilisation analysis could be run for the DR cohort but not for AMD. DIQ080 measures whether a participant reports having been told that diabetes affected the eyes, not whether a retinopathy diagnosis exists in a clinical record; the diagnosis-discordance outcome is thus a patient-reported construct. Refused/don't-know/missing responses were treated as missing, so each diagnosis-discordance proportion is computed only among participants who answered the relevant item (responders-only denominators of 313 for DR and 436 for AMD). Covariates were age (top-coded 85), sex, race/ethnicity (non-Hispanic White vs non-White), education (&lt; high school vs high school or more), family poverty-to-income ratio, health-insurance coverage, and usual source of care. Education and race were coarsely recoded to limit sparse-cell instability.</w:t>
      </w:r>
    </w:p>
    <w:p w14:paraId="10D1B9E1">
      <w:pPr>
        <w:pStyle w:val="4"/>
        <w:spacing w:line="360" w:lineRule="auto"/>
        <w:rPr>
          <w:rFonts w:hint="default" w:ascii="Calibri" w:hAnsi="Calibri" w:cs="Calibri"/>
        </w:rPr>
      </w:pPr>
      <w:r>
        <w:rPr>
          <w:rFonts w:hint="default" w:ascii="Calibri" w:hAnsi="Calibri" w:eastAsia="Arial" w:cs="Calibri"/>
          <w:b/>
        </w:rPr>
        <w:t>Outcomes and analysis classification</w:t>
      </w:r>
    </w:p>
    <w:p w14:paraId="1266CB53">
      <w:pPr>
        <w:spacing w:after="120" w:line="360" w:lineRule="auto"/>
        <w:rPr>
          <w:rFonts w:hint="default" w:ascii="Calibri" w:hAnsi="Calibri" w:cs="Calibri"/>
        </w:rPr>
      </w:pPr>
      <w:r>
        <w:rPr>
          <w:rFonts w:hint="default" w:ascii="Calibri" w:hAnsi="Calibri" w:eastAsia="Arial" w:cs="Calibri"/>
          <w:b w:val="0"/>
        </w:rPr>
        <w:t>The primary diagnosis-discordance outcome was objectively graded disease with no corresponding self-reported diagnosis among item responders; "diagnosis gap" is an operational label for this patient-reported construct, not a chart-confirmed one. These proportions and their severity strata are the study's primary descriptive analyses, reported as survey-weighted percentages with design-based 95% confidence intervals. The eye-care-discordance outcome was no dilated examination within 12 months among adults with diabetes (overall and restricted to those with objectively graded retinopathy), also descriptive. A secondary association analysis examined the link between recent (within-12-month) dilated examination and having no self-reported diabetic-eye diagnosis, adjusted for demographics, income, insurance and retinopathy severity. No verifiable pre-registration exists for this or any other regression analysis reported here, so all regression results — the covariate models, the eye-care model and the interaction terms — are exploratory: we report effect sizes, confidence intervals and Holm-corrected P values and interpret them without causal intent. We also report weighted prevalence of objectively graded disease, self-reported glaucoma and cataract surgery, insurance coverage, and, from NHIS, self-reported eye disease and 12-month eye-care utilisation.</w:t>
      </w:r>
    </w:p>
    <w:p w14:paraId="72CEC4EC">
      <w:pPr>
        <w:pStyle w:val="4"/>
        <w:spacing w:line="360" w:lineRule="auto"/>
        <w:rPr>
          <w:rFonts w:hint="default" w:ascii="Calibri" w:hAnsi="Calibri" w:cs="Calibri"/>
        </w:rPr>
      </w:pPr>
      <w:r>
        <w:rPr>
          <w:rFonts w:hint="default" w:ascii="Calibri" w:hAnsi="Calibri" w:eastAsia="Arial" w:cs="Calibri"/>
          <w:b/>
        </w:rPr>
        <w:t>Statistical analysis</w:t>
      </w:r>
    </w:p>
    <w:p w14:paraId="1E11CEA8">
      <w:pPr>
        <w:spacing w:after="120" w:line="360" w:lineRule="auto"/>
        <w:rPr>
          <w:rFonts w:hint="default" w:ascii="Calibri" w:hAnsi="Calibri" w:cs="Calibri"/>
        </w:rPr>
      </w:pPr>
      <w:r>
        <w:rPr>
          <w:rFonts w:hint="default" w:ascii="Calibri" w:hAnsi="Calibri" w:eastAsia="Arial" w:cs="Calibri"/>
          <w:b w:val="0"/>
        </w:rPr>
        <w:t xml:space="preserve">All estimates used the R </w:t>
      </w:r>
      <w:r>
        <w:rPr>
          <w:rFonts w:hint="default" w:ascii="Calibri" w:hAnsi="Calibri" w:eastAsia="Arial" w:cs="Calibri"/>
          <w:b w:val="0"/>
          <w:bCs/>
        </w:rPr>
        <w:t>survey</w:t>
      </w:r>
      <w:r>
        <w:rPr>
          <w:rFonts w:hint="default" w:ascii="Calibri" w:hAnsi="Calibri" w:eastAsia="Arial" w:cs="Calibri"/>
          <w:b w:val="0"/>
        </w:rPr>
        <w:t xml:space="preserve"> package under the appropriate complex-survey design (pseudo-stratum SDMVSTRA, pseudo-PSU SDMVPSU and pooled MEC weight for NHANES; VARSTRAT, VARPSU and sample-adult weight for NHIS). Proportions and 95% confidence intervals used design-based </w:t>
      </w:r>
      <w:r>
        <w:rPr>
          <w:rFonts w:hint="default" w:ascii="Calibri" w:hAnsi="Calibri" w:eastAsia="Arial" w:cs="Calibri"/>
          <w:b w:val="0"/>
          <w:bCs/>
        </w:rPr>
        <w:t>logit-transformed</w:t>
      </w:r>
      <w:r>
        <w:rPr>
          <w:rFonts w:hint="default" w:ascii="Calibri" w:hAnsi="Calibri" w:eastAsia="Arial" w:cs="Calibri"/>
          <w:b w:val="0"/>
        </w:rPr>
        <w:t xml:space="preserve"> intervals (</w:t>
      </w:r>
      <w:r>
        <w:rPr>
          <w:rFonts w:hint="default" w:ascii="Calibri" w:hAnsi="Calibri" w:eastAsia="Consolas" w:cs="Calibri"/>
          <w:b w:val="0"/>
        </w:rPr>
        <w:t>svyciprop(method = "logit")</w:t>
      </w:r>
      <w:r>
        <w:rPr>
          <w:rFonts w:hint="default" w:ascii="Calibri" w:hAnsi="Calibri" w:eastAsia="Arial" w:cs="Calibri"/>
          <w:b w:val="0"/>
        </w:rPr>
        <w:t xml:space="preserve">), which keep every interval within 0–100% and are used uniformly rather than only near the boundaries; subpopulation estimates were obtained with </w:t>
      </w:r>
      <w:r>
        <w:rPr>
          <w:rFonts w:hint="default" w:ascii="Calibri" w:hAnsi="Calibri" w:eastAsia="Consolas" w:cs="Calibri"/>
          <w:b w:val="0"/>
        </w:rPr>
        <w:t>subset()</w:t>
      </w:r>
      <w:r>
        <w:rPr>
          <w:rFonts w:hint="default" w:ascii="Calibri" w:hAnsi="Calibri" w:eastAsia="Arial" w:cs="Calibri"/>
          <w:b w:val="0"/>
        </w:rPr>
        <w:t xml:space="preserve"> on the full design so that strata and PSUs (and hence the variance estimate) are preserved rather than by deleting records. Survey-adjusted logistic regression (quasi-binomial) modelled having no self-reported diagnosis as a function of age, sex, education, race/ethnicity and income (the </w:t>
      </w:r>
      <w:r>
        <w:rPr>
          <w:rFonts w:hint="default" w:ascii="Calibri" w:hAnsi="Calibri" w:eastAsia="Arial" w:cs="Calibri"/>
          <w:b w:val="0"/>
          <w:i/>
          <w:iCs/>
        </w:rPr>
        <w:t>core</w:t>
      </w:r>
      <w:r>
        <w:rPr>
          <w:rFonts w:hint="default" w:ascii="Calibri" w:hAnsi="Calibri" w:eastAsia="Arial" w:cs="Calibri"/>
          <w:b w:val="0"/>
        </w:rPr>
        <w:t xml:space="preserve"> model); a separate supplementary model added health-insurance coverage where estimable, so the core-model income estimate and the income-adjusted-for-insurance estimate are reported distinctly. Coefficients were exponentiated to adjusted odds ratios. Adjusted-odds-ratio confidence intervals are Wald intervals using the design-based </w:t>
      </w:r>
      <w:r>
        <w:rPr>
          <w:rFonts w:hint="default" w:ascii="Calibri" w:hAnsi="Calibri" w:eastAsia="Arial" w:cs="Calibri"/>
          <w:b w:val="0"/>
          <w:bCs/>
        </w:rPr>
        <w:t>t</w:t>
      </w:r>
      <w:r>
        <w:rPr>
          <w:rFonts w:hint="default" w:ascii="Calibri" w:hAnsi="Calibri" w:eastAsia="Arial" w:cs="Calibri"/>
          <w:b w:val="0"/>
        </w:rPr>
        <w:t xml:space="preserve"> critical value on each model's residual degrees of freedom (</w:t>
      </w:r>
      <w:r>
        <w:rPr>
          <w:rFonts w:hint="default" w:ascii="Calibri" w:hAnsi="Calibri" w:eastAsia="Consolas" w:cs="Calibri"/>
          <w:b w:val="0"/>
        </w:rPr>
        <w:t>degf(design)</w:t>
      </w:r>
      <w:r>
        <w:rPr>
          <w:rFonts w:hint="default" w:ascii="Calibri" w:hAnsi="Calibri" w:eastAsia="Arial" w:cs="Calibri"/>
          <w:b w:val="0"/>
        </w:rPr>
        <w:t xml:space="preserve"> minus model rank plus one), so every odds ratio, its interval and its P value come from the </w:t>
      </w:r>
      <w:r>
        <w:rPr>
          <w:rFonts w:hint="default" w:ascii="Calibri" w:hAnsi="Calibri" w:eastAsia="Arial" w:cs="Calibri"/>
          <w:b w:val="0"/>
          <w:bCs/>
        </w:rPr>
        <w:t>same</w:t>
      </w:r>
      <w:r>
        <w:rPr>
          <w:rFonts w:hint="default" w:ascii="Calibri" w:hAnsi="Calibri" w:eastAsia="Arial" w:cs="Calibri"/>
          <w:b w:val="0"/>
        </w:rPr>
        <w:t xml:space="preserve"> quasi-binomial t test (for the eye-care model, residual df = 13). Where a coefficient was affected by complete separation (the AMD uninsured stratum), it was reported descriptively rather than as an odds ratio. All reported numbers are generated by analysis scripts and consolidated into one machine-readable file (</w:t>
      </w:r>
      <w:r>
        <w:rPr>
          <w:rFonts w:hint="default" w:ascii="Calibri" w:hAnsi="Calibri" w:eastAsia="Consolas" w:cs="Calibri"/>
          <w:b w:val="0"/>
        </w:rPr>
        <w:t>numbers_v7.csv</w:t>
      </w:r>
      <w:r>
        <w:rPr>
          <w:rFonts w:hint="default" w:ascii="Calibri" w:hAnsi="Calibri" w:eastAsia="Arial" w:cs="Calibri"/>
          <w:b w:val="0"/>
        </w:rPr>
        <w:t>) from which every figure, table and in-text value is drawn; per-model design/residual degrees of freedom, model rank and all coefficient/standard-error/confidence-interval/P/Holm-P values are exported from the same fitted model objects into an audit table (Supplementary Table S2), and analyses used R 4.3.3 (survey, mice) and Python 3.10 with fixed seeds and single-threaded BLAS.</w:t>
      </w:r>
    </w:p>
    <w:p w14:paraId="10D4A26D">
      <w:pPr>
        <w:spacing w:after="120" w:line="360" w:lineRule="auto"/>
        <w:rPr>
          <w:rFonts w:hint="default" w:ascii="Calibri" w:hAnsi="Calibri" w:cs="Calibri"/>
        </w:rPr>
      </w:pPr>
      <w:r>
        <w:rPr>
          <w:rFonts w:hint="default" w:ascii="Calibri" w:hAnsi="Calibri" w:eastAsia="Arial" w:cs="Calibri"/>
          <w:b w:val="0"/>
          <w:bCs w:val="0"/>
        </w:rPr>
        <w:t>Missing-data handling.</w:t>
      </w:r>
      <w:r>
        <w:rPr>
          <w:rFonts w:hint="default" w:ascii="Calibri" w:hAnsi="Calibri" w:eastAsia="Arial" w:cs="Calibri"/>
          <w:b w:val="0"/>
          <w:bCs/>
        </w:rPr>
        <w:t xml:space="preserve"> The primary multivariable analysis was complete-case. Because education and income were substantially missing, we added three sensitivity analyses reported together in Supplementary Table S3: (a) a missing-indicator model retaining all responders, in which missing income was median-filled and missing education assigned the high-education placeholder, each with a missingness flag (an auxiliary stability check; it does not show that missingness is ignorable); (b) reduced models dropping the high-missingness covariate(s); and (c) multiple imputation by chained equations (mice, m = 20) over the outcome, demographics, severity, cycle, income and education, followed by Rubin-pooled survey-logistic estimation within each completed dataset's design. The imputation used outcome and covariates as predictors; the survey weights and design were applied at the estimation stage on each imputed set (impute-then-analyse-in-design). As the imputation does not reproduce the finite-population variance of the design, pooled inference is presented as a sensitivity analysis that supports the direction of the income association, not as the primary inferential estimate. We additionally report imputation diagnostics (per-variable missingness among responders — education 32.6%, income 9.6% — and the income aOR across the 20 imputations, which lay above 1 in each, range 1.24–1.49, SD 0.048; these 20 values share the same data and imputation assumptions and are not 20 independent replications, and standard convergence diagnostics such as trace plots and fraction-of-missing-information were not generated for this single-model pooled estimate) and descriptive missingness-mechanism models: education-missingness tracked age and insurance and income-missingness tracked race/ethnicity, but neither missingness indicator was associated with the outcome (both P &gt; 0.7). These tests inform which observed covariates to adjust or impute for; they do not identify the missingness mechanism and do not establish MAR or exclude unobserved bias.</w:t>
      </w:r>
    </w:p>
    <w:p w14:paraId="7CACB3DF">
      <w:pPr>
        <w:spacing w:after="120" w:line="360" w:lineRule="auto"/>
        <w:rPr>
          <w:rFonts w:hint="default" w:ascii="Calibri" w:hAnsi="Calibri" w:cs="Calibri"/>
        </w:rPr>
      </w:pPr>
      <w:r>
        <w:rPr>
          <w:rFonts w:hint="default" w:ascii="Calibri" w:hAnsi="Calibri" w:eastAsia="Arial" w:cs="Calibri"/>
          <w:b w:val="0"/>
          <w:bCs w:val="0"/>
        </w:rPr>
        <w:t xml:space="preserve">Age standardisation. </w:t>
      </w:r>
      <w:r>
        <w:rPr>
          <w:rFonts w:hint="default" w:ascii="Calibri" w:hAnsi="Calibri" w:eastAsia="Arial" w:cs="Calibri"/>
          <w:b w:val="0"/>
        </w:rPr>
        <w:t>For the NHIS benchmark, the survey-weighted self-reported macular-degeneration proportion was directly age-standardised to the NHANES 40+ age distribution across five bands (40–49, 50–59, 60–69, 70–79, 80+). Rather than assume independent bands, we obtained the standardised rate and its design-based confidence interval through a reweighting identity — rescaling each NHIS respondent's weight by the ratio of the target (NHANES) band share to the realised weighted respondent total in that band — so that a single design-based mean reproduces Σ</w:t>
      </w:r>
      <w:r>
        <w:rPr>
          <w:rFonts w:hint="default" w:ascii="Calibri" w:hAnsi="Calibri" w:eastAsia="Arial" w:cs="Calibri"/>
          <w:b w:val="0"/>
          <w:i/>
          <w:iCs/>
        </w:rPr>
        <w:t>b w</w:t>
      </w:r>
      <w:r>
        <w:rPr>
          <w:rFonts w:hint="default" w:ascii="Calibri" w:hAnsi="Calibri" w:eastAsia="Arial" w:cs="Calibri"/>
          <w:b w:val="0"/>
        </w:rPr>
        <w:t>b·rate_b and carries the full covariance between age-band estimates. An analogous ten-cell (age × sex) standardisation used joint NHANES cell weights. Standard-population weights are treated as fixed, so the reported interval is conditional on the chosen NHANES-derived weights (Supplementary Table S4).</w:t>
      </w:r>
    </w:p>
    <w:p w14:paraId="37C82171">
      <w:pPr>
        <w:spacing w:after="120" w:line="360" w:lineRule="auto"/>
        <w:rPr>
          <w:rFonts w:hint="default" w:ascii="Calibri" w:hAnsi="Calibri" w:cs="Calibri"/>
        </w:rPr>
      </w:pPr>
      <w:r>
        <w:rPr>
          <w:rFonts w:hint="default" w:ascii="Calibri" w:hAnsi="Calibri" w:eastAsia="Arial" w:cs="Calibri"/>
          <w:b w:val="0"/>
          <w:bCs w:val="0"/>
        </w:rPr>
        <w:t xml:space="preserve">Multiple comparisons and analysis status. </w:t>
      </w:r>
      <w:r>
        <w:rPr>
          <w:rFonts w:hint="default" w:ascii="Calibri" w:hAnsi="Calibri" w:eastAsia="Arial" w:cs="Calibri"/>
          <w:b w:val="0"/>
          <w:bCs/>
        </w:rPr>
        <w:t>Because there is no verifiable pre-registration for this secondary analysis, all regression associations — the covariate models and the eye-care–awareness model alike — are reported as exploratory. Holm adjustment is applied within each model for transparency only (raw and adjusted P values shown together), not as a filter on interpretation. The study's headline conclusions rest on the design-weighted descriptive proportions and the severity gradient, not on whether any single regression coefficient survives correction; the descriptive estimates carry no multiplicity adjustment because each is a pre-specified quantity for its own population. Severity strata are reported primarily as effect sizes with confidence intervals, and the Holm result is used only to flag which term (the severe-or-proliferative retinopathy category) happens to survive within-model correction.</w:t>
      </w:r>
    </w:p>
    <w:p w14:paraId="19098B8C">
      <w:pPr>
        <w:pStyle w:val="3"/>
        <w:spacing w:line="360" w:lineRule="auto"/>
        <w:rPr>
          <w:rFonts w:hint="default" w:ascii="Calibri" w:hAnsi="Calibri" w:cs="Calibri"/>
        </w:rPr>
      </w:pPr>
      <w:r>
        <w:rPr>
          <w:rFonts w:hint="default" w:ascii="Calibri" w:hAnsi="Calibri" w:eastAsia="Arial" w:cs="Calibri"/>
          <w:b/>
        </w:rPr>
        <w:t>Results</w:t>
      </w:r>
    </w:p>
    <w:p w14:paraId="4245A20E">
      <w:pPr>
        <w:pStyle w:val="4"/>
        <w:spacing w:line="360" w:lineRule="auto"/>
        <w:rPr>
          <w:rFonts w:hint="default" w:ascii="Calibri" w:hAnsi="Calibri" w:cs="Calibri"/>
        </w:rPr>
      </w:pPr>
      <w:r>
        <w:rPr>
          <w:rFonts w:hint="default" w:ascii="Calibri" w:hAnsi="Calibri" w:eastAsia="Arial" w:cs="Calibri"/>
          <w:b/>
        </w:rPr>
        <w:t>Study flow, denominators, and missingness</w:t>
      </w:r>
    </w:p>
    <w:p w14:paraId="0DEB7367">
      <w:pPr>
        <w:spacing w:after="120" w:line="360" w:lineRule="auto"/>
        <w:rPr>
          <w:rFonts w:hint="default" w:ascii="Calibri" w:hAnsi="Calibri" w:cs="Calibri"/>
        </w:rPr>
      </w:pPr>
      <w:r>
        <w:rPr>
          <w:rFonts w:hint="default" w:ascii="Calibri" w:hAnsi="Calibri" w:cs="Calibri"/>
          <w:b w:val="0"/>
        </w:rPr>
        <w:t>Of 6,797 examined adults aged ≥40 with retinal photography, 5,704 had a gradable retinopathy image and 5,604 a gradable AMD image. Because the diagnosis-discordance outcome requires an answer to the corresponding self-report item, all denominators below are responders (Figure 1). Among adults with diabetes and objectively graded retinopathy (n = 319), 313 answered the diabetic-eye item and formed the DR denominator; six non-responders were excluded. Among adults with objectively graded AMD (n = 441), 436 answered the macular-degeneration item (five excluded). Multivariable models were smaller because education and income were missing, not because of the outcome: of the 313 DR responders, 102 lacked education and 30 lacked income, leaving 187 in the complete-case core model; of the 436 AMD responders, 188 lacked education and 42 lacked income, leaving 226 (Supplementary Table S5). Design degrees of freedom were computed with survey::degf() for each subset (Supplementary Table S2): the DR and AMD responder sets spanned 31 strata with 59 and 61 PSUs (design df 28 and 30), and the complete-case core models retained df 22 and 29. Regression inference used each model's residual degrees of freedom, degf(design) − model rank + 1 (13 for the eye-care model); Supplementary Table S2 reports the design df, rank, residual df, t-multiplier and every coefficient, standard error, confidence interval, raw P and Holm-adjusted P from the same fitted object, so intervals and P values cannot drift apart.</w:t>
      </w:r>
    </w:p>
    <w:p w14:paraId="62C426CD">
      <w:pPr>
        <w:pStyle w:val="4"/>
        <w:spacing w:line="360" w:lineRule="auto"/>
        <w:rPr>
          <w:rFonts w:hint="default" w:ascii="Calibri" w:hAnsi="Calibri" w:cs="Calibri"/>
        </w:rPr>
      </w:pPr>
      <w:r>
        <w:rPr>
          <w:rFonts w:hint="default" w:ascii="Calibri" w:hAnsi="Calibri" w:eastAsia="Arial" w:cs="Calibri"/>
          <w:b/>
        </w:rPr>
        <w:t>Prevalence of objectively graded disease</w:t>
      </w:r>
    </w:p>
    <w:p w14:paraId="0B3D5E6E">
      <w:pPr>
        <w:spacing w:after="120" w:line="360" w:lineRule="auto"/>
        <w:rPr>
          <w:rFonts w:hint="default" w:ascii="Calibri" w:hAnsi="Calibri" w:cs="Calibri"/>
        </w:rPr>
      </w:pPr>
      <w:r>
        <w:rPr>
          <w:rFonts w:hint="default" w:ascii="Calibri" w:hAnsi="Calibri" w:eastAsia="Arial" w:cs="Calibri"/>
          <w:b w:val="0"/>
        </w:rPr>
        <w:t>Weighted prevalence among adults ≥40 was 9.75% (95% CI 8.79–10.80) for any objectively graded retinopathy and 1.35% (1.10–1.65) for moderate-or-worse retinopathy. Restricting to adults with diabetes, objectively graded retinopathy was present in 33.0% (29.3–37.0). Any AMD was present in 6.58% (5.65–7.66) and late AMD in 0.80% (0.54–1.18); diagnosed diabetes in 12.05% (10.68–13.56); (Table 1; additional NHANES descriptive measures in Supplementary Table S5). Because fundus microvascular signs are not specific to diabetes, the whole-population retinopathy figure is reported descriptively and the primary diabetic-retinopathy analyses are confined to adults with diabetes.</w:t>
      </w:r>
    </w:p>
    <w:p w14:paraId="23F23B6E">
      <w:pPr>
        <w:pStyle w:val="4"/>
        <w:spacing w:line="360" w:lineRule="auto"/>
        <w:rPr>
          <w:rFonts w:hint="default" w:ascii="Calibri" w:hAnsi="Calibri" w:cs="Calibri"/>
        </w:rPr>
      </w:pPr>
      <w:r>
        <w:rPr>
          <w:rFonts w:hint="default" w:ascii="Calibri" w:hAnsi="Calibri" w:eastAsia="Arial" w:cs="Calibri"/>
          <w:b/>
        </w:rPr>
        <w:t>Diagnosis discordance (objectively graded disease without a self-reported diagnosis)</w:t>
      </w:r>
    </w:p>
    <w:p w14:paraId="31E1A723">
      <w:pPr>
        <w:spacing w:after="120" w:line="360" w:lineRule="auto"/>
        <w:rPr>
          <w:rFonts w:hint="default" w:ascii="Calibri" w:hAnsi="Calibri" w:cs="Calibri"/>
        </w:rPr>
      </w:pPr>
      <w:r>
        <w:rPr>
          <w:rFonts w:hint="default" w:ascii="Calibri" w:hAnsi="Calibri" w:cs="Calibri"/>
          <w:b w:val="0"/>
        </w:rPr>
        <w:t>Among adults with diabetes who had objectively graded retinopathy and answered the item, 70.2% (63.8–75.9) reported no prior diabetic-eye diagnosis. Among adults with objectively graded AMD who answered the item, 82.2% (77.3–86.2) reported no prior macular-degeneration diagnosis, and even among those with late AMD — the stage most likely to be symptomatic — 41.4% (25.3–59.6) reported no diagnosis (n = 55; Table 2, Figure 2). The outcome is the absence of a recalled, patient-reported diagnosis, not a chart-confirmed absence of diagnosis. We do not estimate a diagnosis gap for people with objectively graded retinopathy who do not report diabetes, because the diabetic-eye item (DIQ080) is asked only of people with diabetes; the appropriate denominator is therefore diabetic respondents (n = 313). Extreme-scenario bounds that assign the six DR and five AMD item non-responders first to "diagnosed" and then to "undiagnosed" move the weighted estimates only marginally (DR 69.2–70.6%, AMD 81.6–82.3%), so the headline gaps are not an artefact of non-response (Supplementary Table S6).</w:t>
      </w:r>
    </w:p>
    <w:p w14:paraId="52EFB547">
      <w:pPr>
        <w:pStyle w:val="4"/>
        <w:spacing w:line="360" w:lineRule="auto"/>
        <w:rPr>
          <w:rFonts w:hint="default" w:ascii="Calibri" w:hAnsi="Calibri" w:cs="Calibri"/>
        </w:rPr>
      </w:pPr>
      <w:r>
        <w:rPr>
          <w:rFonts w:hint="default" w:ascii="Calibri" w:hAnsi="Calibri" w:eastAsia="Arial" w:cs="Calibri"/>
          <w:b/>
        </w:rPr>
        <w:t>Eye-care discordance</w:t>
      </w:r>
    </w:p>
    <w:p w14:paraId="57DA7853">
      <w:pPr>
        <w:spacing w:after="120" w:line="360" w:lineRule="auto"/>
        <w:rPr>
          <w:rFonts w:hint="default" w:ascii="Calibri" w:hAnsi="Calibri" w:cs="Calibri"/>
        </w:rPr>
      </w:pPr>
      <w:r>
        <w:rPr>
          <w:rFonts w:hint="default" w:ascii="Calibri" w:hAnsi="Calibri" w:eastAsia="Arial" w:cs="Calibri"/>
          <w:b w:val="0"/>
        </w:rPr>
        <w:t>Among adults with diabetes, 35.8% (31.3–40.5) had not had a dilated eye examination within 12 months; restricting to those with objectively graded retinopathy, 32.4% (25.9–39.7) had not. Because clinical guidance permits intervals longer than 12 months for some low-risk patients, this measure reflects "not examined within 12 months" rather than "not following an individualised guideline" (Table 2).</w:t>
      </w:r>
    </w:p>
    <w:p w14:paraId="60C85528">
      <w:pPr>
        <w:pStyle w:val="4"/>
        <w:spacing w:line="360" w:lineRule="auto"/>
        <w:rPr>
          <w:rFonts w:hint="default" w:ascii="Calibri" w:hAnsi="Calibri" w:cs="Calibri"/>
        </w:rPr>
      </w:pPr>
      <w:r>
        <w:rPr>
          <w:rFonts w:hint="default" w:ascii="Calibri" w:hAnsi="Calibri" w:eastAsia="Arial" w:cs="Calibri"/>
          <w:b/>
        </w:rPr>
        <w:t>Discordance by severity and age</w:t>
      </w:r>
    </w:p>
    <w:p w14:paraId="21251EE3">
      <w:pPr>
        <w:spacing w:after="120" w:line="360" w:lineRule="auto"/>
        <w:rPr>
          <w:rFonts w:hint="default" w:ascii="Calibri" w:hAnsi="Calibri" w:cs="Calibri"/>
        </w:rPr>
      </w:pPr>
      <w:r>
        <w:rPr>
          <w:rFonts w:hint="default" w:ascii="Calibri" w:hAnsi="Calibri" w:cs="Calibri"/>
        </w:rPr>
        <w:t>Self-reported diagnosis rose steeply with retinopathy severity among adults with diabetes. The proportion reporting no prior diagnosis fell from 78.1% (71.3–83.7) for mild NPDR (n = 197), to 64.4% (48.3–77.8) for moderate (n = 85), to 15.7% (5.0–39.7) for severe-or-proliferative retinopathy (n = 31), while the percentage actually diagnosed rose across the same tiers from 16.6% among those with no gradable retinopathy to 21.9%, 35.6% and 84.3% (Figure 2, panel a; Supplementary Table S7). AMD discordance was similarly graded: the gap was higher for early AMD — 87.9% (84.4–90.6), n = 381 — than for late AMD (41.4%, 25.3–59.6, n = 55), each computed from its own responder set (Figure 2, panel b). By age stratum, AMD discordance was near-complete at 40–59 years (99.1%, 95.6–99.8), fell to 86.6% (77.8–92.3) at 60–74 and 66.7% (60.1–72.6) at ≥75, whereas the DR gap was flatter (Supplementary Table S7). The severe-DR and late-AMD strata are small and their intervals wide, so the fall in discordance with severity is best read as a graded descriptive pattern rather than a series of individually tested contrasts.</w:t>
      </w:r>
    </w:p>
    <w:p w14:paraId="32F752E2">
      <w:pPr>
        <w:pStyle w:val="4"/>
        <w:spacing w:line="360" w:lineRule="auto"/>
        <w:rPr>
          <w:rFonts w:hint="default" w:ascii="Calibri" w:hAnsi="Calibri" w:cs="Calibri"/>
        </w:rPr>
      </w:pPr>
      <w:r>
        <w:rPr>
          <w:rFonts w:hint="default" w:ascii="Calibri" w:hAnsi="Calibri" w:eastAsia="Arial" w:cs="Calibri"/>
          <w:b/>
        </w:rPr>
        <w:t>Discordance in advanced retinal disease</w:t>
      </w:r>
    </w:p>
    <w:p w14:paraId="23A5A887">
      <w:pPr>
        <w:spacing w:after="120" w:line="360" w:lineRule="auto"/>
        <w:rPr>
          <w:rFonts w:hint="default" w:ascii="Calibri" w:hAnsi="Calibri" w:cs="Calibri"/>
        </w:rPr>
      </w:pPr>
      <w:r>
        <w:rPr>
          <w:rFonts w:hint="default" w:ascii="Calibri" w:hAnsi="Calibri" w:cs="Calibri"/>
          <w:b w:val="0"/>
        </w:rPr>
        <w:t>Reframing around clinically more advanced disease, the diagnosis gap remained substantial at or above the moderate-non-proliferative threshold. Among adults with diabetes and moderate-or-worse retinopathy (n = 116) the pooled gap was 53.4% (38.7–67.5), comprising 64.4% (48.3–77.8) for moderate and 15.7% (5.0–39.7) for severe-or-proliferative retinopathy (Figure 2, panel a). For AMD, 41.4% (25.3–59.6) of objectively graded late AMD carried no reported diagnosis. The "moderate-or-worse" grouping denotes clinically more advanced disease, not a treatable or immediately blinding category — moderate non-proliferative retinopathy is typically monitored rather than treated — and imaging severity is not a treatment indication. Splitting late AMD, geographic atrophy was undiagnosed in 50.3% (26.6–73.9; n = 32) and exudative/neovascular AMD in 27.7% (8.0–62.9; n = 23); both strata are small with widely overlapping intervals, so this difference is not an established group difference. The two phenotypes also differ in therapy and in treatability at the time these data were collected.</w:t>
      </w:r>
    </w:p>
    <w:p w14:paraId="089DE708">
      <w:pPr>
        <w:pStyle w:val="4"/>
        <w:spacing w:line="360" w:lineRule="auto"/>
        <w:rPr>
          <w:rFonts w:hint="default" w:ascii="Calibri" w:hAnsi="Calibri" w:cs="Calibri"/>
        </w:rPr>
      </w:pPr>
      <w:r>
        <w:rPr>
          <w:rFonts w:hint="default" w:ascii="Calibri" w:hAnsi="Calibri" w:eastAsia="Arial" w:cs="Calibri"/>
          <w:b/>
        </w:rPr>
        <w:t>Correlates of having no self-reported diagnosis</w:t>
      </w:r>
    </w:p>
    <w:p w14:paraId="22045369">
      <w:pPr>
        <w:spacing w:after="120" w:line="360" w:lineRule="auto"/>
        <w:rPr>
          <w:rFonts w:hint="default" w:ascii="Calibri" w:hAnsi="Calibri" w:cs="Calibri"/>
        </w:rPr>
      </w:pPr>
      <w:r>
        <w:rPr>
          <w:rFonts w:hint="default" w:ascii="Calibri" w:hAnsi="Calibri" w:cs="Calibri"/>
          <w:b w:val="0"/>
        </w:rPr>
        <w:t>These covariate analyses are descriptive; they identify factors that co-occur with the patient-reported gap and do not support causal reading. In survey-adjusted complete-case core models (Table 3), older age was the only factor independently associated with lower odds of no self-reported diagnosis for AMD (aOR 0.93 per year, 95% CI 0.89–0.96; Holm-adjusted P = 0.003). For DR, no covariate reached significance after Holm correction. The family-income association was directionally consistent (aOR &gt; 1 in every specification) but its magnitude and precision varied with missing-data handling: complete-case core aOR 1.34 (0.92–1.96, Holm P = 0.59); adding insurance, 1.39 (0.96–2.00, P = 0.077); dropping education, 1.46 (1.08–1.97, P = 0.017, n = 283); and multiple imputation (m = 20, Rubin-pooled) 1.38 (1.02–1.87, P = 0.037, n = 313), with the income aOR above 1 in all 20 imputations (range 1.24–1.49, SD 0.048). Higher income is therefore treated as a tentative correlate with imprecise magnitude, not an established driver. Education and insurance associations were non-significant under every approach (Supplementary Table S3). In the AMD model, insurance was not included because complete separation in the uninsured stratum prevented a stable estimate; the descriptive pattern is reported in Supplementary Table S3 rather than as a fitted term. Across specifications we found no consistent socioeconomic association with diagnosis discordance; limited precision does not rule out differences of clinical size.</w:t>
      </w:r>
    </w:p>
    <w:p w14:paraId="2ED5F56A">
      <w:pPr>
        <w:pStyle w:val="4"/>
        <w:spacing w:line="360" w:lineRule="auto"/>
        <w:rPr>
          <w:rFonts w:hint="default" w:ascii="Calibri" w:hAnsi="Calibri" w:cs="Calibri"/>
        </w:rPr>
      </w:pPr>
      <w:r>
        <w:rPr>
          <w:rFonts w:hint="default" w:ascii="Calibri" w:hAnsi="Calibri" w:eastAsia="Arial" w:cs="Calibri"/>
          <w:b/>
        </w:rPr>
        <w:t>Eye-care utilisation and diagnosis awareness</w:t>
      </w:r>
    </w:p>
    <w:p w14:paraId="664615B9">
      <w:pPr>
        <w:spacing w:after="120" w:line="360" w:lineRule="auto"/>
        <w:rPr>
          <w:rFonts w:hint="default" w:ascii="Calibri" w:hAnsi="Calibri" w:cs="Calibri"/>
        </w:rPr>
      </w:pPr>
      <w:r>
        <w:rPr>
          <w:rFonts w:hint="default" w:ascii="Calibri" w:hAnsi="Calibri" w:cs="Calibri"/>
          <w:b w:val="0"/>
        </w:rPr>
        <w:t>Within the diabetic-retinopathy cohort, recent eye-care contact tracked awareness. Unadjusted, 82.0% (70.1–89.9) of adults not examined within 12 months (n = 106) reported no diabetic-eye diagnosis versus 64.5% (55.9–72.2) of those examined (n = 207). This secondary analysis is exploratory; the adjusted odds ratio with its confidence interval is the primary quantity (full model in Supplementary Table S2). In the fully adjusted eye-care model (Table 3, n = 187), a recent dilated examination was associated with lower odds of a self-reported diagnosis being absent (aOR 0.30, 0.10–0.92, P = 0.038), but this did not remain significant after correction across the model's nine terms (Holm-adjusted P = 0.27); model-adjusted predicted risk was 81.8% versus 62.4% (a −19.4-percentage-point descriptive difference; Figure 3). The odds ratio, interval and P value come from a single quasi-binomial Wald t test on the model's residual degrees of freedom (df = 13), so they are internally consistent. The term that survived correction was the severe-or-proliferative retinopathy category (aOR 0.05, 0.01–0.24, Holm-adjusted P = 0.010; relative to mild non-proliferative diabetic retinopathy, the reference because all participants had graded retinopathy). An eye-care × severity interaction tested in the same model gave no evidence of effect modification (aOR 1.61, 0.24–10.79, P = 0.59). A recent dilated examination was thus associated with lower odds of an absent self-reported diagnosis in the adjusted model, though the association did not survive Holm correction; the cross-sectional design cannot separate examination-driven diagnosis from diagnosis-driven examination. The analogous AMD analysis is not feasible: dilated-examination timing (DIQ360) is collected only for people with diabetes, and only 59 of the 436 AMD responders were diabetic.</w:t>
      </w:r>
    </w:p>
    <w:p w14:paraId="0C1FF5CB">
      <w:pPr>
        <w:pStyle w:val="4"/>
        <w:spacing w:line="360" w:lineRule="auto"/>
        <w:rPr>
          <w:rFonts w:hint="default" w:ascii="Calibri" w:hAnsi="Calibri" w:cs="Calibri"/>
        </w:rPr>
      </w:pPr>
      <w:r>
        <w:rPr>
          <w:rFonts w:hint="default" w:ascii="Calibri" w:hAnsi="Calibri" w:eastAsia="Arial" w:cs="Calibri"/>
          <w:b/>
        </w:rPr>
        <w:t>Grading feasibility and potential selection</w:t>
      </w:r>
    </w:p>
    <w:p w14:paraId="614355BB">
      <w:pPr>
        <w:spacing w:after="120" w:line="360" w:lineRule="auto"/>
        <w:rPr>
          <w:rFonts w:hint="default" w:ascii="Calibri" w:hAnsi="Calibri" w:cs="Calibri"/>
        </w:rPr>
      </w:pPr>
      <w:r>
        <w:rPr>
          <w:rFonts w:hint="default" w:ascii="Calibri" w:hAnsi="Calibri" w:cs="Calibri"/>
          <w:b w:val="0"/>
        </w:rPr>
        <w:t>Images were ungradable for 1,093 participants, who differed from gradable participants: they were older (mean 64.5 vs 59.6 years), more often diabetic (22.1% vs 15.9%) and more likely to have less than a high-school education (23.2% vs 14.4%). To test whether this imbalance biases estimates, we reweighted gradable participants by the inverse probability of a gradable image. A base model (age, sex, race/ethnicity) moved whole-population prevalence only slightly (any retinopathy 9.75% → 9.98%; any AMD 6.58% → 6.87%); an extended model adding diabetes, insurance and education gave 9.75% → 10.13% and 6.58% → 6.77%. The inverse-probability factors were modest (1/P about 1.0–1.8; the smallest predicted gradability probability was 0.57, so the 0.05 floor never bound and no observation was truncated), and the Kish effective sample size of the combined weights (≈3,635–3,656 of 5,704) stayed close to the raw-weight value (≈3,508). This stability check is limited; an unchanged aggregate ESS can still sit alongside a long weight tail and speaks only to observable differences. The diagnosis gaps themselves were essentially unchanged under IPW (DR 70.2% → 70.2%; AMD 82.2% → 82.0%). The descriptive prevalence and primary discordance proportions therefore move little under observable gradable-vs-ungradable reweighting; inverse-probability weighting cannot address unmeasured selection (Supplementary Table S8; Figure S1).</w:t>
      </w:r>
    </w:p>
    <w:p w14:paraId="670965AC">
      <w:pPr>
        <w:pStyle w:val="4"/>
        <w:spacing w:line="360" w:lineRule="auto"/>
        <w:rPr>
          <w:rFonts w:hint="default" w:ascii="Calibri" w:hAnsi="Calibri" w:cs="Calibri"/>
        </w:rPr>
      </w:pPr>
      <w:r>
        <w:rPr>
          <w:rFonts w:hint="default" w:ascii="Calibri" w:hAnsi="Calibri" w:eastAsia="Arial" w:cs="Calibri"/>
          <w:b/>
        </w:rPr>
        <w:t>Cross-survey benchmark (NHIS 2016)</w:t>
      </w:r>
    </w:p>
    <w:p w14:paraId="1FE56C8E">
      <w:pPr>
        <w:spacing w:after="120" w:line="360" w:lineRule="auto"/>
        <w:rPr>
          <w:rFonts w:hint="default" w:ascii="Calibri" w:hAnsi="Calibri" w:cs="Calibri"/>
        </w:rPr>
      </w:pPr>
      <w:r>
        <w:rPr>
          <w:rFonts w:hint="default" w:ascii="Calibri" w:hAnsi="Calibri" w:cs="Calibri"/>
          <w:b w:val="0"/>
        </w:rPr>
        <w:t>In NHIS 2016, weighted self-reported prevalence among adults ≥40 was 2.66% (2.40–2.91) for macular degeneration and 1.27% (1.09–1.46) for diabetic retinopathy; 48.7% (47.7–49.7) had seen an eye doctor and 49.9% (48.9–51.0) had a dilated examination within 12 months. Self-reported glaucoma (3.97%) and cataract (21.17%) are reported in Supplementary Table S4 and, being outside the objective-versus-reported comparison, are not carried into the main analysis; the NHIS cataract item ("ever told you had cataract") is also a different construct from the NHANES cataract-surgery history in Table 1, so the two are not compared directly. Directly age-standardising the NHIS macular-degeneration proportion (2.66% crude) to the NHANES 40+ age structure yielded 2.45% (2.22–2.69) using the full design-based covariance of the age-band estimates; age-and-sex standardisation gave 2.46% (2.22–2.70) (Figure S2; Supplementary Table S4). The difference between objectively graded AMD (6.58%) and age-standardised self-report persisted after standardisation, but it cannot be attributed specifically to diagnostic unawareness because the surveys differ in calendar period, ascertainment and respondents. NHIS is therefore an auxiliary contextual benchmark, not a paired validation of individual diagnosis status.</w:t>
      </w:r>
    </w:p>
    <w:p w14:paraId="63A8826A">
      <w:pPr>
        <w:pStyle w:val="3"/>
        <w:spacing w:line="360" w:lineRule="auto"/>
        <w:rPr>
          <w:rFonts w:hint="default" w:ascii="Calibri" w:hAnsi="Calibri" w:cs="Calibri"/>
        </w:rPr>
      </w:pPr>
      <w:r>
        <w:rPr>
          <w:rFonts w:hint="default" w:ascii="Calibri" w:hAnsi="Calibri" w:eastAsia="Arial" w:cs="Calibri"/>
          <w:b/>
        </w:rPr>
        <w:t>Discussion</w:t>
      </w:r>
    </w:p>
    <w:p w14:paraId="74E1FFAD">
      <w:pPr>
        <w:spacing w:after="120" w:line="360" w:lineRule="auto"/>
        <w:rPr>
          <w:rFonts w:hint="default" w:ascii="Calibri" w:hAnsi="Calibri" w:cs="Calibri"/>
        </w:rPr>
      </w:pPr>
      <w:r>
        <w:rPr>
          <w:rFonts w:hint="default" w:ascii="Calibri" w:hAnsi="Calibri" w:cs="Calibri"/>
          <w:b w:val="0"/>
        </w:rPr>
        <w:t>In a nationally representative sample of US adults aged ≥40 examined in 2005–2008, objectively graded retinal abnormalities, patient-reported diagnosis, and eye-care utilisation were substantially discordant. Roughly seven in ten adults with diabetes and graded retinopathy, and more than eight in ten with graded AMD, reported no prior diagnosis; even among those with late AMD, about four in ten reported no diagnosis, and about one third of the highest-risk people with diabetes had not been examined within 12 months. These proportions, the severity gradient and the eye-care association are the study's core contributions.</w:t>
      </w:r>
    </w:p>
    <w:p w14:paraId="6F62A59C">
      <w:pPr>
        <w:spacing w:after="120" w:line="360" w:lineRule="auto"/>
        <w:rPr>
          <w:rFonts w:hint="default" w:ascii="Calibri" w:hAnsi="Calibri" w:cs="Calibri"/>
        </w:rPr>
      </w:pPr>
      <w:r>
        <w:rPr>
          <w:rFonts w:hint="default" w:ascii="Calibri" w:hAnsi="Calibri" w:cs="Calibri"/>
          <w:b w:val="0"/>
        </w:rPr>
        <w:t>The observed discordance is not a direct estimate of clinically undiagnosed disease. Imaging identifies retinal abnormalities under a standardised protocol, whereas the questionnaire captures whether participants recall being told they had a corresponding condition; the two differ in diagnostic threshold, terminology and susceptibility to recall error. Retinal microvascular abnormalities in adults with diabetes are also not necessarily attributable to diabetes alone. Even so, discordance persisted in advanced categories — a 15.7% gap in severe-or-proliferative retinopathy and 41.4% in late AMD — so it cannot be explained solely by the inclusion of mild imaging abnormalities. The small numbers with severe retinopathy and late AMD warrant caution in interpreting these severity-specific estimates.</w:t>
      </w:r>
    </w:p>
    <w:p w14:paraId="3453FC49">
      <w:pPr>
        <w:spacing w:after="120" w:line="360" w:lineRule="auto"/>
        <w:rPr>
          <w:rFonts w:hint="default" w:ascii="Calibri" w:hAnsi="Calibri" w:cs="Calibri"/>
        </w:rPr>
      </w:pPr>
      <w:r>
        <w:rPr>
          <w:rFonts w:hint="default" w:ascii="Calibri" w:hAnsi="Calibri" w:cs="Calibri"/>
          <w:b w:val="0"/>
        </w:rPr>
        <w:t>Three findings stand out. First, discordance narrowed but did not close with severity: self-reported diabetic-eye diagnosis rose from about 17% without gradable retinopathy to about 84% in severe-or-proliferative retinopathy, and the AMD gap fell from 87.9% in early to 41.4% in late disease, yet a substantial gap persisted in advanced categories. Second, discordance was broadly distributed across sociodemographic strata: after adjustment we found no consistent association with education, income or insurance; only age was significant for AMD, and the income association varied in precision with missing-data handling. Third, the eye-care–awareness association was secondary: a recent dilated examination was linked to a lower likelihood of reporting no prior diagnosis, but the association did not survive Holm correction, and a cross-sectional design cannot tell whether eye-care contact facilitates recognition, whether a known diagnosis prompts examination, or whether both track severity and access. Examination patterns may shape diagnostic awareness, but these data do not test that pathway; prior diagnosis can itself prompt eye-care visits, so the relationship is bidirectional and requires prospective study.</w:t>
      </w:r>
    </w:p>
    <w:p w14:paraId="3299D057">
      <w:pPr>
        <w:spacing w:after="120" w:line="360" w:lineRule="auto"/>
        <w:rPr>
          <w:rFonts w:hint="default" w:ascii="Calibri" w:hAnsi="Calibri" w:cs="Calibri"/>
        </w:rPr>
      </w:pPr>
      <w:r>
        <w:rPr>
          <w:rFonts w:hint="default" w:ascii="Calibri" w:hAnsi="Calibri" w:cs="Calibri"/>
          <w:b w:val="0"/>
        </w:rPr>
        <w:t>Our work extends prior NHANES analyses of retinopathy prevalence and awareness.⁶,⁹ Earlier work estimated diabetic-retinopathy prevalence in NHANES 2005–2008⁶ and examined social determinants of DR awareness in the same cycles using NHANES imaging together with the diagnosis questionnaire.⁹ Because that study already paired objective grading with a patient-reported diagnosis in the same respondents, our contribution lies elsewhere: a parallel treatment of DR and AMD with explicit, disease-specific responder denominators; presentation of the patient-reported discordance by clinical severity, including moderate-or-worse retinopathy and late AMD, with confidence intervals; an explicit link between reported diagnosis and recent dilated eye-care use among adults with diabetes, with the reciprocal-direction caveat a cross-section imposes; a systematic set of sensitivity analyses covering survey design, item non-response, covariate missingness and image gradability; and an NHIS comparison used only as auxiliary context. The marked AMD age gradient is not simply a proxy for worse disease in older participants: it persisted after adjustment for AMD stage (0.92 per year) and within a stage-restricted early-AMD sample (Supplementary Table S9), consistent with greater cumulative ophthalmic contact at older ages, not severity alone. Because the abnormalities that matter are frequently silent and discordance is broad, case-finding cannot rely on symptom- or risk-triggered referral alone; the American Academy of Ophthalmology preferred-practice-pattern and NHANES-based evidence support periodic dilated or imaged examination for people with diabetes.⁴,⁵,¹⁶ These findings motivate evaluation of targeted retinal assessment and diagnosis-communication strategies in contemporary populations. This study did not compare screening strategies, diagnostic yield, false-positive rates, referral burden or cost-effectiveness, so nothing here speaks to the effectiveness or cost-effectiveness of broader population screening.</w:t>
      </w:r>
    </w:p>
    <w:p w14:paraId="37CEB390">
      <w:pPr>
        <w:spacing w:after="120" w:line="360" w:lineRule="auto"/>
        <w:rPr>
          <w:rFonts w:hint="default" w:ascii="Calibri" w:hAnsi="Calibri" w:cs="Calibri"/>
        </w:rPr>
      </w:pPr>
      <w:r>
        <w:rPr>
          <w:rFonts w:hint="default" w:ascii="Calibri" w:hAnsi="Calibri" w:cs="Calibri"/>
          <w:b w:val="0"/>
        </w:rPr>
        <w:t>Several limitations define the scope of these findings. NHANES retinal imaging covers only adults ≥40, so estimates do not generalise to younger adults with type 1 diabetes, and the design is cross-sectional: we measure a snapshot of diagnostic awareness and care, not time-to-diagnosis or outcomes. "No self-reported diagnosis" is not identical to "never diagnosed". Respondents may forget or misname a diagnosis, or have it recorded only in an eye-care chart, which would overstate the apparent gap; conversely, a participant may report a diagnosis that was never formally made, which would understate it. Including mild imaging lesions that never reached a threshold a clinician would label as disease would also tend to overstate the apparent diagnosis gap, because such eyes were arguably never candidates for a clinical diagnosis. Missing socioeconomic information substantially reduced the complete-case samples; reduced-covariate, missing-indicator and multiple-imputation models gave income associations in a similar direction, but their precision and significance varied, the imputation did not fully reproduce the complex sampling structure, and neither complete-case analysis nor multiple imputation can exclude bias from unobserved determinants of missingness. We therefore read all socioeconomic associations as exploratory; the direction of the income association is not settled. Participants with ungradable photographs differed in age, diabetes prevalence and education, and inverse-probability weighting for these observed predictors changed prevalence and the diagnosis gaps only modestly; that analysis depends on the gradability-model specification and cannot account for unmeasured factors affecting both image quality and disease status, so it does not eliminate selection bias. Several strata are small (severe DR n = 31; uninsured AMD n = 14; late-AMD subtypes n = 32/23), producing wide intervals and one non-estimable coefficient, and the AMD eye-care analysis is not feasible because examination timing is collected only for people with diabetes. Finally, the retinal imaging data were collected in 2005–2008, before substantial changes in imaging, screening pathways and treatment availability, and the NHIS benchmark is from 2016, so the cross-survey comparison cannot be attributed purely to under-diagnosis. The findings therefore characterise historical patterns rather than current US prevalence, and validation in contemporary populations with linked clinical diagnoses and imaging would strengthen their relevance.</w:t>
      </w:r>
    </w:p>
    <w:p w14:paraId="7D07B6D4">
      <w:pPr>
        <w:pStyle w:val="3"/>
        <w:spacing w:line="360" w:lineRule="auto"/>
        <w:rPr>
          <w:rFonts w:hint="default" w:ascii="Calibri" w:hAnsi="Calibri" w:cs="Calibri"/>
        </w:rPr>
      </w:pPr>
      <w:r>
        <w:rPr>
          <w:rFonts w:hint="default" w:ascii="Calibri" w:hAnsi="Calibri" w:eastAsia="Arial" w:cs="Calibri"/>
          <w:b/>
        </w:rPr>
        <w:t>Conclusions</w:t>
      </w:r>
    </w:p>
    <w:p w14:paraId="30FBBA7E">
      <w:pPr>
        <w:spacing w:after="120" w:line="360" w:lineRule="auto"/>
        <w:rPr>
          <w:rFonts w:hint="default" w:ascii="Calibri" w:hAnsi="Calibri" w:cs="Calibri"/>
        </w:rPr>
      </w:pPr>
      <w:r>
        <w:rPr>
          <w:rFonts w:hint="default" w:ascii="Calibri" w:hAnsi="Calibri" w:cs="Calibri"/>
          <w:b w:val="0"/>
        </w:rPr>
        <w:t>In US adults aged ≥40 examined in 2005–2008, objectively graded retinal abnormalities frequently lacked a corresponding patient-reported diagnosis, and a substantial proportion of adults with diabetes and graded retinopathy reported no recent dilated eye examination. Discordance was less pronounced in more advanced disease but remained evident in late AMD and severe retinopathy. These findings describe historical differences between imaging-based classification, diagnostic awareness and eye-care utilisation; they are not estimates of current clinical underdiagnosis or of present US practice. Studies with contemporary imaging, linked clinical records and longitudinal eye-care data are needed to determine how these discrepancies arise and whether targeted interventions improve outcomes.</w:t>
      </w:r>
    </w:p>
    <w:p w14:paraId="0C4025BD">
      <w:pPr>
        <w:pBdr>
          <w:bottom w:val="single" w:color="999999" w:sz="6" w:space="1"/>
        </w:pBdr>
        <w:spacing w:line="360" w:lineRule="auto"/>
        <w:rPr>
          <w:rFonts w:hint="default" w:ascii="Calibri" w:hAnsi="Calibri" w:cs="Calibri"/>
        </w:rPr>
      </w:pPr>
    </w:p>
    <w:p w14:paraId="49094DEA">
      <w:pPr>
        <w:spacing w:after="120" w:line="360" w:lineRule="auto"/>
        <w:rPr>
          <w:rFonts w:hint="default" w:ascii="Calibri" w:hAnsi="Calibri" w:cs="Calibri"/>
        </w:rPr>
      </w:pPr>
      <w:r>
        <w:rPr>
          <w:rFonts w:hint="default" w:ascii="Calibri" w:hAnsi="Calibri" w:eastAsia="Arial" w:cs="Calibri"/>
          <w:b w:val="0"/>
          <w:bCs w:val="0"/>
        </w:rPr>
        <w:t>Ethics.</w:t>
      </w:r>
      <w:r>
        <w:rPr>
          <w:rFonts w:hint="default" w:ascii="Calibri" w:hAnsi="Calibri" w:eastAsia="Arial" w:cs="Calibri"/>
          <w:b w:val="0"/>
        </w:rPr>
        <w:t xml:space="preserve"> Secondary analysis of de-identified public NHANES/NHIS data; exempt. Original surveys approved by the NCHS Research Ethics Review Board with written informed consent.</w:t>
      </w:r>
    </w:p>
    <w:p w14:paraId="41602FB7">
      <w:pPr>
        <w:spacing w:after="120" w:line="360" w:lineRule="auto"/>
        <w:rPr>
          <w:rFonts w:hint="default" w:ascii="Calibri" w:hAnsi="Calibri" w:cs="Calibri"/>
        </w:rPr>
      </w:pPr>
      <w:r>
        <w:rPr>
          <w:rFonts w:hint="default" w:ascii="Calibri" w:hAnsi="Calibri" w:cs="Calibri"/>
          <w:b w:val="0"/>
          <w:bCs/>
        </w:rPr>
        <w:t>Code availability.</w:t>
      </w:r>
      <w:r>
        <w:rPr>
          <w:rFonts w:hint="default" w:ascii="Calibri" w:hAnsi="Calibri" w:cs="Calibri"/>
          <w:b w:val="0"/>
        </w:rPr>
        <w:t xml:space="preserve"> </w:t>
      </w:r>
      <w:bookmarkStart w:id="0" w:name="_GoBack"/>
      <w:bookmarkEnd w:id="0"/>
      <w:r>
        <w:rPr>
          <w:rFonts w:hint="default" w:ascii="Calibri" w:hAnsi="Calibri" w:cs="Calibri"/>
          <w:b w:val="0"/>
        </w:rPr>
        <w:t>The complete analysis archive — dataset construction (build_dataset_v2.py), survey-weighted models (survey_analysis_v7.R), number consolidation (consolidate_v7.py), Nature-style figure generation (build_figures_v13.py) and end-to-end verification (verify_v7.py) — is deposited, version-tagged, in a public repository at https://github.com/teamhuang/eye3-nhanes-diagnosis-care-gap (release v10.0.0: https://github.com/teamhuang/eye3-nhanes-diagnosis-care-gap/releases/tag/v10.0.0). It redistributes no individual-level data; the public NHANES and NHIS source files must be downloaded separately from NCHS.</w:t>
      </w:r>
    </w:p>
    <w:p w14:paraId="252AB2A8">
      <w:pPr>
        <w:spacing w:after="120" w:line="360" w:lineRule="auto"/>
        <w:rPr>
          <w:rFonts w:hint="default" w:ascii="Calibri" w:hAnsi="Calibri" w:cs="Calibri"/>
        </w:rPr>
      </w:pPr>
      <w:r>
        <w:rPr>
          <w:rFonts w:hint="default" w:ascii="Calibri" w:hAnsi="Calibri" w:cs="Calibri"/>
          <w:b w:val="0"/>
        </w:rPr>
        <w:t>The authors used an AI coding assistant (QoderWork) to help write and debug the analysis scripts and to assist in drafting and editing the manuscript. All statistical outputs, numbers, code and prose were independently checked by the authors, who take full responsibility for them and confirmed their accuracy before submission. No AI tool meets the ICMJE authorship criteria and none is listed as an author, consistent with ICMJE and Scientific Reports policy.</w:t>
      </w:r>
    </w:p>
    <w:p w14:paraId="4686BE83">
      <w:pPr>
        <w:pStyle w:val="3"/>
        <w:spacing w:line="360" w:lineRule="auto"/>
        <w:rPr>
          <w:rFonts w:hint="default" w:ascii="Calibri" w:hAnsi="Calibri" w:cs="Calibri"/>
        </w:rPr>
      </w:pPr>
      <w:r>
        <w:rPr>
          <w:rFonts w:hint="default" w:ascii="Calibri" w:hAnsi="Calibri" w:eastAsia="Arial" w:cs="Calibri"/>
          <w:b/>
        </w:rPr>
        <w:t>Data availability</w:t>
      </w:r>
    </w:p>
    <w:p w14:paraId="14027D35">
      <w:pPr>
        <w:spacing w:after="120" w:line="360" w:lineRule="auto"/>
        <w:rPr>
          <w:rFonts w:hint="default" w:ascii="Calibri" w:hAnsi="Calibri" w:cs="Calibri"/>
        </w:rPr>
      </w:pPr>
      <w:r>
        <w:rPr>
          <w:rFonts w:hint="default" w:ascii="Calibri" w:hAnsi="Calibri" w:eastAsia="Arial" w:cs="Calibri"/>
          <w:b w:val="0"/>
        </w:rPr>
        <w:t>NHANES 2005–2008 retinal-photography (OPXRET), Vision (VIQ), Diabetes (DIQ), Demographics (DEMO), Health-Utilisation (HUQ) and Health-Insurance (HIQ) files, and the 2016 NHIS Sample Adult file, are publicly available from the National Center for Health Statistics, CDC (https://wwwn.cdc.gov/nchs/nhanes/ and https://ftp.cdc.gov/pub/Health_Statistics/NCHS/Datasets/NHIS/2016/). These are third-party public-use data; no individual-level data are redistributed here. This work is a secondary analysis of previously collected data.</w:t>
      </w:r>
    </w:p>
    <w:p w14:paraId="0B1B0299">
      <w:pPr>
        <w:pStyle w:val="3"/>
        <w:spacing w:line="360" w:lineRule="auto"/>
        <w:rPr>
          <w:rFonts w:hint="default" w:ascii="Calibri" w:hAnsi="Calibri" w:cs="Calibri"/>
        </w:rPr>
      </w:pPr>
      <w:r>
        <w:rPr>
          <w:rFonts w:hint="default" w:ascii="Calibri" w:hAnsi="Calibri" w:eastAsia="Arial" w:cs="Calibri"/>
          <w:b/>
        </w:rPr>
        <w:t>Funding</w:t>
      </w:r>
    </w:p>
    <w:p w14:paraId="43A89982">
      <w:pPr>
        <w:spacing w:after="120" w:line="360" w:lineRule="auto"/>
        <w:rPr>
          <w:rFonts w:hint="default" w:ascii="Calibri" w:hAnsi="Calibri" w:cs="Calibri"/>
        </w:rPr>
      </w:pPr>
      <w:r>
        <w:rPr>
          <w:rFonts w:hint="default" w:ascii="Calibri" w:hAnsi="Calibri" w:eastAsia="Arial" w:cs="Calibri"/>
          <w:b w:val="0"/>
        </w:rPr>
        <w:t xml:space="preserve">This research received no specific grant from any funding agency in the public, commercial, or not-for-profit sectors. </w:t>
      </w:r>
    </w:p>
    <w:p w14:paraId="3E5E0478">
      <w:pPr>
        <w:pStyle w:val="3"/>
        <w:spacing w:line="360" w:lineRule="auto"/>
        <w:rPr>
          <w:rFonts w:hint="default" w:ascii="Calibri" w:hAnsi="Calibri" w:cs="Calibri"/>
        </w:rPr>
      </w:pPr>
      <w:r>
        <w:rPr>
          <w:rFonts w:hint="default" w:ascii="Calibri" w:hAnsi="Calibri" w:eastAsia="Arial" w:cs="Calibri"/>
          <w:b/>
        </w:rPr>
        <w:t>Author contributions</w:t>
      </w:r>
    </w:p>
    <w:p w14:paraId="38CCB6E6">
      <w:pPr>
        <w:spacing w:after="120" w:line="360" w:lineRule="auto"/>
        <w:rPr>
          <w:rFonts w:hint="default" w:ascii="Calibri" w:hAnsi="Calibri" w:cs="Calibri"/>
        </w:rPr>
      </w:pPr>
      <w:r>
        <w:rPr>
          <w:rFonts w:hint="default" w:ascii="Calibri" w:hAnsi="Calibri" w:eastAsia="Arial" w:cs="Calibri"/>
          <w:b w:val="0"/>
          <w:bCs/>
        </w:rPr>
        <w:t>Jianhuang Huang:</w:t>
      </w:r>
      <w:r>
        <w:rPr>
          <w:rFonts w:hint="default" w:ascii="Calibri" w:hAnsi="Calibri" w:eastAsia="Arial" w:cs="Calibri"/>
          <w:b w:val="0"/>
        </w:rPr>
        <w:t xml:space="preserve"> Conceptualization, Methodology, Software, Formal analysis, Data curation, Visualization, Writing – original draft. </w:t>
      </w:r>
      <w:r>
        <w:rPr>
          <w:rFonts w:hint="default" w:ascii="Calibri" w:hAnsi="Calibri" w:eastAsia="Arial" w:cs="Calibri"/>
          <w:b w:val="0"/>
          <w:bCs/>
        </w:rPr>
        <w:t>Jing Wang:</w:t>
      </w:r>
      <w:r>
        <w:rPr>
          <w:rFonts w:hint="default" w:ascii="Calibri" w:hAnsi="Calibri" w:eastAsia="Arial" w:cs="Calibri"/>
          <w:b w:val="0"/>
        </w:rPr>
        <w:t xml:space="preserve"> Conceptualization, Resources, Supervision, Validation, Project administration, Writing – review &amp; editing. Both authors contributed to the conception and design of the work, interpreted the results, revised the manuscript critically for important intellectual content, approved the final version, and agree to be accountable for all aspects of the work. Correspondence and material requests should be addressed to the corresponding authors.</w:t>
      </w:r>
    </w:p>
    <w:p w14:paraId="62B9CA0D">
      <w:pPr>
        <w:pStyle w:val="3"/>
        <w:spacing w:line="360" w:lineRule="auto"/>
        <w:rPr>
          <w:rFonts w:hint="default" w:ascii="Calibri" w:hAnsi="Calibri" w:cs="Calibri"/>
        </w:rPr>
      </w:pPr>
      <w:r>
        <w:rPr>
          <w:rFonts w:hint="default" w:ascii="Calibri" w:hAnsi="Calibri" w:cs="Calibri"/>
          <w:b/>
        </w:rPr>
        <w:t>Competing interests</w:t>
      </w:r>
    </w:p>
    <w:p w14:paraId="65A9DF37">
      <w:pPr>
        <w:spacing w:after="120" w:line="360" w:lineRule="auto"/>
        <w:rPr>
          <w:rFonts w:hint="default" w:ascii="Calibri" w:hAnsi="Calibri" w:cs="Calibri"/>
        </w:rPr>
      </w:pPr>
      <w:r>
        <w:rPr>
          <w:rFonts w:hint="default" w:ascii="Calibri" w:hAnsi="Calibri" w:eastAsia="Arial" w:cs="Calibri"/>
          <w:b w:val="0"/>
        </w:rPr>
        <w:t>The authors declare no competing financial or non-financial interests.</w:t>
      </w:r>
    </w:p>
    <w:p w14:paraId="48F05C5C">
      <w:pPr>
        <w:pBdr>
          <w:bottom w:val="single" w:color="999999" w:sz="6" w:space="1"/>
        </w:pBdr>
        <w:spacing w:line="360" w:lineRule="auto"/>
        <w:rPr>
          <w:rFonts w:hint="default" w:ascii="Calibri" w:hAnsi="Calibri" w:cs="Calibri"/>
        </w:rPr>
      </w:pPr>
    </w:p>
    <w:p w14:paraId="62CD21D3">
      <w:pPr>
        <w:pStyle w:val="3"/>
        <w:spacing w:line="360" w:lineRule="auto"/>
        <w:rPr>
          <w:rFonts w:hint="default" w:ascii="Calibri" w:hAnsi="Calibri" w:cs="Calibri"/>
        </w:rPr>
      </w:pPr>
      <w:r>
        <w:rPr>
          <w:rFonts w:hint="default" w:ascii="Calibri" w:hAnsi="Calibri" w:eastAsia="Arial" w:cs="Calibri"/>
          <w:b/>
        </w:rPr>
        <w:t>Figure legends</w:t>
      </w:r>
    </w:p>
    <w:p w14:paraId="0062EA59">
      <w:pPr>
        <w:spacing w:after="120" w:line="360" w:lineRule="auto"/>
        <w:rPr>
          <w:rFonts w:hint="default" w:ascii="Calibri" w:hAnsi="Calibri" w:cs="Calibri"/>
        </w:rPr>
      </w:pPr>
      <w:r>
        <w:rPr>
          <w:rFonts w:hint="default" w:ascii="Calibri" w:hAnsi="Calibri" w:cs="Calibri"/>
          <w:b/>
        </w:rPr>
        <w:t>Figure 1. Study flow and analysis denominators (NHANES 2005–2008). Examined adults ≥ 40 with retinal photography (n = 6,797) split into the retinopathy (gradable image n = 5,704) and AMD (gradable image n = 5,604) streams. Diagnosis-discordance denominators are restricted to item responders (DR 313 of 319 diabetic adults with graded retinopathy; AMD 436 of 441 with graded AMD); the 6 and 5 self-report non-responders are excluded. Complete-case core models further drop participants missing education or income (DR n = 187; AMD n = 226). The two streams share the same source cohort and are not mutually exclusive.</w:t>
      </w:r>
    </w:p>
    <w:p w14:paraId="7D3F2DFA">
      <w:pPr>
        <w:spacing w:after="120" w:line="360" w:lineRule="auto"/>
        <w:rPr>
          <w:rFonts w:hint="default" w:ascii="Calibri" w:hAnsi="Calibri" w:cs="Calibri"/>
        </w:rPr>
      </w:pPr>
      <w:r>
        <w:rPr>
          <w:rFonts w:hint="default" w:ascii="Calibri" w:hAnsi="Calibri" w:cs="Calibri"/>
          <w:b/>
        </w:rPr>
        <w:t>Figure 2. Diagnosis discordance and its severity gradient (NHANES 2005–2008), survey-weighted % with no self-reported diagnosis and design-based 95% CIs (logit) among item responders. Panel a: diabetic retinopathy — the “Any retinopathy” point is the headline DR gap (70.2%), with the gradient across mild (n = 197), moderate (n = 85) and severe-or-proliferative (n = 31) NPDR. Panel b: AMD — “Any AMD” (82.2%) with early (n = 381) and late (n = 55) AMD. The open marker “Mod-or-worse*” (n = 116) is a pooled, overlapping summary of the moderate and severe strata shown for reference, not a fourth mutually exclusive tier. The two panels are separate diseases on separate scales and are not a within-figure causal comparison.</w:t>
      </w:r>
    </w:p>
    <w:p w14:paraId="7ACBCDD5">
      <w:pPr>
        <w:spacing w:after="120" w:line="360" w:lineRule="auto"/>
        <w:rPr>
          <w:rFonts w:hint="default" w:ascii="Calibri" w:hAnsi="Calibri" w:cs="Calibri"/>
        </w:rPr>
      </w:pPr>
      <w:r>
        <w:rPr>
          <w:rFonts w:hint="default" w:ascii="Calibri" w:hAnsi="Calibri" w:cs="Calibri"/>
          <w:b/>
        </w:rPr>
        <w:t>Figure 3. Recent dilated examination and model-adjusted probability of no self-reported diagnosis (DR cohort, complete-case n = 187). Points are g-computation predicted probabilities (descriptive; a design-based interval was not reliable for these sparse strata and is not shown): 81.8% without a recent examination vs 62.4% with one. The adjusted association was aOR 0.30 (0.10–0.92), raw P = 0.038, Holm-adjusted P = 0.27. Exploratory cross-sectional association; no causal interpretation, and it did not survive multiplicity correction.</w:t>
      </w:r>
    </w:p>
    <w:p w14:paraId="023972F2">
      <w:pPr>
        <w:spacing w:after="120" w:line="360" w:lineRule="auto"/>
        <w:rPr>
          <w:rFonts w:hint="default" w:ascii="Calibri" w:hAnsi="Calibri" w:cs="Calibri"/>
        </w:rPr>
      </w:pPr>
      <w:r>
        <w:rPr>
          <w:rFonts w:hint="default" w:ascii="Calibri" w:hAnsi="Calibri" w:cs="Calibri"/>
          <w:b/>
        </w:rPr>
        <w:t>Figure S1. Grading-feasibility sensitivity: naive (gradable-only) versus inverse-probability-weighted whole-population prevalence of any retinopathy and any AMD under a base (age, sex, race) and an extended (+ diabetes, insurance, education) gradability model. IPW shifts each estimate by ≤ 0.6 percentage points, indicating observable gradable-vs-ungradable differences do not materially move the descriptive prevalence (full weight decomposition in Supplementary Table S8).</w:t>
      </w:r>
    </w:p>
    <w:p w14:paraId="1828577A">
      <w:pPr>
        <w:spacing w:after="120" w:line="360" w:lineRule="auto"/>
        <w:rPr>
          <w:rFonts w:hint="default" w:ascii="Calibri" w:hAnsi="Calibri" w:cs="Calibri"/>
        </w:rPr>
      </w:pPr>
      <w:r>
        <w:rPr>
          <w:rFonts w:hint="default" w:ascii="Calibri" w:hAnsi="Calibri" w:cs="Calibri"/>
          <w:b/>
        </w:rPr>
        <w:t>Figure S2. Objectively graded versus self-reported AMD among US adults ≥ 40: NHANES retinal-photograph grading (2005–2008, weighted 6.58%) compared with NHIS self-reported diagnosis (2016, survey-weighted crude 2.66% and age-standardised 2.45% to the NHANES 40+ structure). The surveys differ in instrument, year and measurement method and are shown only as a contextual comparison; bars show 95% CIs. The age-standardised CI is conditional on the fixed NHANES-derived standard weights.</w:t>
      </w:r>
    </w:p>
    <w:p w14:paraId="7948B190">
      <w:pPr>
        <w:spacing w:after="160" w:line="360" w:lineRule="auto"/>
        <w:jc w:val="center"/>
        <w:rPr>
          <w:rFonts w:hint="default" w:ascii="Calibri" w:hAnsi="Calibri" w:cs="Calibri"/>
        </w:rPr>
      </w:pPr>
      <w:r>
        <w:rPr>
          <w:rFonts w:hint="default" w:ascii="Calibri" w:hAnsi="Calibri" w:cs="Calibri"/>
        </w:rPr>
        <w:drawing>
          <wp:inline distT="0" distB="0" distL="114300" distR="114300">
            <wp:extent cx="2339975" cy="1799590"/>
            <wp:effectExtent l="0" t="0" r="3175" b="101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5"/>
                    <a:stretch>
                      <a:fillRect/>
                    </a:stretch>
                  </pic:blipFill>
                  <pic:spPr>
                    <a:xfrm>
                      <a:off x="0" y="0"/>
                      <a:ext cx="2340000" cy="1800000"/>
                    </a:xfrm>
                    <a:prstGeom prst="rect">
                      <a:avLst/>
                    </a:prstGeom>
                  </pic:spPr>
                </pic:pic>
              </a:graphicData>
            </a:graphic>
          </wp:inline>
        </w:drawing>
      </w:r>
    </w:p>
    <w:p w14:paraId="74637A58">
      <w:pPr>
        <w:spacing w:after="160" w:line="360" w:lineRule="auto"/>
        <w:jc w:val="center"/>
        <w:rPr>
          <w:rFonts w:hint="default" w:ascii="Calibri" w:hAnsi="Calibri" w:cs="Calibri"/>
        </w:rPr>
      </w:pPr>
      <w:r>
        <w:rPr>
          <w:rFonts w:hint="default" w:ascii="Calibri" w:hAnsi="Calibri" w:cs="Calibri"/>
        </w:rPr>
        <w:drawing>
          <wp:inline distT="0" distB="0" distL="114300" distR="114300">
            <wp:extent cx="2339975" cy="1799590"/>
            <wp:effectExtent l="0" t="0" r="3175" b="1016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6"/>
                    <a:stretch>
                      <a:fillRect/>
                    </a:stretch>
                  </pic:blipFill>
                  <pic:spPr>
                    <a:xfrm>
                      <a:off x="0" y="0"/>
                      <a:ext cx="2340000" cy="1800000"/>
                    </a:xfrm>
                    <a:prstGeom prst="rect">
                      <a:avLst/>
                    </a:prstGeom>
                  </pic:spPr>
                </pic:pic>
              </a:graphicData>
            </a:graphic>
          </wp:inline>
        </w:drawing>
      </w:r>
    </w:p>
    <w:p w14:paraId="7F84A0B3">
      <w:pPr>
        <w:spacing w:after="160" w:line="360" w:lineRule="auto"/>
        <w:jc w:val="center"/>
        <w:rPr>
          <w:rFonts w:hint="default" w:ascii="Calibri" w:hAnsi="Calibri" w:cs="Calibri"/>
        </w:rPr>
      </w:pPr>
      <w:r>
        <w:rPr>
          <w:rFonts w:hint="default" w:ascii="Calibri" w:hAnsi="Calibri" w:cs="Calibri"/>
        </w:rPr>
        <w:drawing>
          <wp:inline distT="0" distB="0" distL="114300" distR="114300">
            <wp:extent cx="1799590" cy="1799590"/>
            <wp:effectExtent l="0" t="0" r="10160" b="101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7"/>
                    <a:stretch>
                      <a:fillRect/>
                    </a:stretch>
                  </pic:blipFill>
                  <pic:spPr>
                    <a:xfrm>
                      <a:off x="0" y="0"/>
                      <a:ext cx="1800000" cy="1800000"/>
                    </a:xfrm>
                    <a:prstGeom prst="rect">
                      <a:avLst/>
                    </a:prstGeom>
                  </pic:spPr>
                </pic:pic>
              </a:graphicData>
            </a:graphic>
          </wp:inline>
        </w:drawing>
      </w:r>
    </w:p>
    <w:p w14:paraId="07A0D17A">
      <w:pPr>
        <w:pStyle w:val="3"/>
        <w:spacing w:line="360" w:lineRule="auto"/>
        <w:rPr>
          <w:rFonts w:hint="default" w:ascii="Calibri" w:hAnsi="Calibri" w:cs="Calibri"/>
        </w:rPr>
      </w:pPr>
      <w:r>
        <w:rPr>
          <w:rFonts w:hint="default" w:ascii="Calibri" w:hAnsi="Calibri" w:eastAsia="Arial" w:cs="Calibri"/>
          <w:b/>
        </w:rPr>
        <w:t>Tables</w:t>
      </w:r>
    </w:p>
    <w:p w14:paraId="44F1A8C1">
      <w:pPr>
        <w:pStyle w:val="4"/>
        <w:spacing w:line="360" w:lineRule="auto"/>
        <w:rPr>
          <w:rFonts w:hint="default" w:ascii="Calibri" w:hAnsi="Calibri" w:cs="Calibri"/>
        </w:rPr>
      </w:pPr>
      <w:r>
        <w:rPr>
          <w:rFonts w:hint="default" w:ascii="Calibri" w:hAnsi="Calibri" w:cs="Calibri"/>
          <w:b/>
        </w:rPr>
        <w:t>Table 1. Prevalence of objectively graded retinal abnormalities among US adults aged ≥ 40 years, NHANES 2005–2008. Unweighted n is the analytic (gradable-image) denominator for each measure, not the case count; the “among adults with diabetes” row uses n = 884. The final row is population context, not an imaging outcome. Additional NHANES descriptive measures (insurance, glaucoma, cataract-surgery history) are in Supplementary Table S5.</w:t>
      </w:r>
    </w:p>
    <w:tbl>
      <w:tblPr>
        <w:tblStyle w:val="13"/>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009"/>
      </w:tblGrid>
      <w:tr w14:paraId="7C0CB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5B080C0D">
            <w:pPr>
              <w:rPr>
                <w:rFonts w:hint="default" w:ascii="Calibri" w:hAnsi="Calibri" w:cs="Calibri"/>
              </w:rPr>
            </w:pPr>
            <w:r>
              <w:rPr>
                <w:rFonts w:hint="default" w:ascii="Calibri" w:hAnsi="Calibri" w:cs="Calibri"/>
              </w:rPr>
              <w:t>Measure</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3057ABCF">
            <w:pPr>
              <w:rPr>
                <w:rFonts w:hint="default" w:ascii="Calibri" w:hAnsi="Calibri" w:cs="Calibri"/>
              </w:rPr>
            </w:pPr>
            <w:r>
              <w:rPr>
                <w:rFonts w:hint="default" w:ascii="Calibri" w:hAnsi="Calibri" w:cs="Calibri"/>
              </w:rPr>
              <w:t>Unweighted n</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31ACEE62">
            <w:pPr>
              <w:rPr>
                <w:rFonts w:hint="default" w:ascii="Calibri" w:hAnsi="Calibri" w:cs="Calibri"/>
              </w:rPr>
            </w:pPr>
            <w:r>
              <w:rPr>
                <w:rFonts w:hint="default" w:ascii="Calibri" w:hAnsi="Calibri" w:cs="Calibri"/>
              </w:rPr>
              <w:t>Weighted % (95% CI)</w:t>
            </w:r>
          </w:p>
        </w:tc>
      </w:tr>
      <w:tr w14:paraId="2AE83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6A23210">
            <w:pPr>
              <w:rPr>
                <w:rFonts w:hint="default" w:ascii="Calibri" w:hAnsi="Calibri" w:cs="Calibri"/>
              </w:rPr>
            </w:pPr>
            <w:r>
              <w:rPr>
                <w:rFonts w:hint="default" w:ascii="Calibri" w:hAnsi="Calibri" w:cs="Calibri"/>
              </w:rPr>
              <w:t>Any objectively graded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17EC40">
            <w:pPr>
              <w:rPr>
                <w:rFonts w:hint="default" w:ascii="Calibri" w:hAnsi="Calibri" w:cs="Calibri"/>
              </w:rPr>
            </w:pPr>
            <w:r>
              <w:rPr>
                <w:rFonts w:hint="default" w:ascii="Calibri" w:hAnsi="Calibri" w:cs="Calibri"/>
              </w:rP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6AF2623">
            <w:pPr>
              <w:rPr>
                <w:rFonts w:hint="default" w:ascii="Calibri" w:hAnsi="Calibri" w:cs="Calibri"/>
              </w:rPr>
            </w:pPr>
            <w:r>
              <w:rPr>
                <w:rFonts w:hint="default" w:ascii="Calibri" w:hAnsi="Calibri" w:cs="Calibri"/>
              </w:rPr>
              <w:t>9.75 (8.79–10.80)</w:t>
            </w:r>
          </w:p>
        </w:tc>
      </w:tr>
      <w:tr w14:paraId="22CE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750C4EB">
            <w:pPr>
              <w:rPr>
                <w:rFonts w:hint="default" w:ascii="Calibri" w:hAnsi="Calibri" w:cs="Calibri"/>
              </w:rPr>
            </w:pPr>
            <w:r>
              <w:rPr>
                <w:rFonts w:hint="default" w:ascii="Calibri" w:hAnsi="Calibri" w:cs="Calibri"/>
              </w:rPr>
              <w:t>Moderate-or-worse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A90F99">
            <w:pPr>
              <w:rPr>
                <w:rFonts w:hint="default" w:ascii="Calibri" w:hAnsi="Calibri" w:cs="Calibri"/>
              </w:rPr>
            </w:pPr>
            <w:r>
              <w:rPr>
                <w:rFonts w:hint="default" w:ascii="Calibri" w:hAnsi="Calibri" w:cs="Calibri"/>
              </w:rP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D410258">
            <w:pPr>
              <w:rPr>
                <w:rFonts w:hint="default" w:ascii="Calibri" w:hAnsi="Calibri" w:cs="Calibri"/>
              </w:rPr>
            </w:pPr>
            <w:r>
              <w:rPr>
                <w:rFonts w:hint="default" w:ascii="Calibri" w:hAnsi="Calibri" w:cs="Calibri"/>
              </w:rPr>
              <w:t>1.35 (1.10–1.65)</w:t>
            </w:r>
          </w:p>
        </w:tc>
      </w:tr>
      <w:tr w14:paraId="3CF06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88BA033">
            <w:pPr>
              <w:rPr>
                <w:rFonts w:hint="default" w:ascii="Calibri" w:hAnsi="Calibri" w:cs="Calibri"/>
              </w:rPr>
            </w:pPr>
            <w:r>
              <w:rPr>
                <w:rFonts w:hint="default" w:ascii="Calibri" w:hAnsi="Calibri" w:cs="Calibri"/>
              </w:rPr>
              <w:t>Objective retinopathy among adults with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6A1525B">
            <w:pPr>
              <w:rPr>
                <w:rFonts w:hint="default" w:ascii="Calibri" w:hAnsi="Calibri" w:cs="Calibri"/>
              </w:rPr>
            </w:pPr>
            <w:r>
              <w:rPr>
                <w:rFonts w:hint="default" w:ascii="Calibri" w:hAnsi="Calibri" w:cs="Calibri"/>
              </w:rPr>
              <w:t>884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38C239C">
            <w:pPr>
              <w:rPr>
                <w:rFonts w:hint="default" w:ascii="Calibri" w:hAnsi="Calibri" w:cs="Calibri"/>
              </w:rPr>
            </w:pPr>
            <w:r>
              <w:rPr>
                <w:rFonts w:hint="default" w:ascii="Calibri" w:hAnsi="Calibri" w:cs="Calibri"/>
              </w:rPr>
              <w:t>33.0 (29.3–37.0)</w:t>
            </w:r>
          </w:p>
        </w:tc>
      </w:tr>
      <w:tr w14:paraId="02E41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C88DD71">
            <w:pPr>
              <w:rPr>
                <w:rFonts w:hint="default" w:ascii="Calibri" w:hAnsi="Calibri" w:cs="Calibri"/>
              </w:rPr>
            </w:pPr>
            <w:r>
              <w:rPr>
                <w:rFonts w:hint="default" w:ascii="Calibri" w:hAnsi="Calibri" w:cs="Calibri"/>
              </w:rPr>
              <w:t>Any AMD (early or late)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96B563C">
            <w:pPr>
              <w:rPr>
                <w:rFonts w:hint="default" w:ascii="Calibri" w:hAnsi="Calibri" w:cs="Calibri"/>
              </w:rPr>
            </w:pPr>
            <w:r>
              <w:rPr>
                <w:rFonts w:hint="default" w:ascii="Calibri" w:hAnsi="Calibri" w:cs="Calibri"/>
              </w:rP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8D69D0E">
            <w:pPr>
              <w:rPr>
                <w:rFonts w:hint="default" w:ascii="Calibri" w:hAnsi="Calibri" w:cs="Calibri"/>
              </w:rPr>
            </w:pPr>
            <w:r>
              <w:rPr>
                <w:rFonts w:hint="default" w:ascii="Calibri" w:hAnsi="Calibri" w:cs="Calibri"/>
              </w:rPr>
              <w:t>6.58 (5.65–7.66)</w:t>
            </w:r>
          </w:p>
        </w:tc>
      </w:tr>
      <w:tr w14:paraId="108C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44C3C3A">
            <w:pPr>
              <w:rPr>
                <w:rFonts w:hint="default" w:ascii="Calibri" w:hAnsi="Calibri" w:cs="Calibri"/>
              </w:rPr>
            </w:pPr>
            <w:r>
              <w:rPr>
                <w:rFonts w:hint="default" w:ascii="Calibri" w:hAnsi="Calibri" w:cs="Calibri"/>
              </w:rPr>
              <w:t>Late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988F7D">
            <w:pPr>
              <w:rPr>
                <w:rFonts w:hint="default" w:ascii="Calibri" w:hAnsi="Calibri" w:cs="Calibri"/>
              </w:rPr>
            </w:pPr>
            <w:r>
              <w:rPr>
                <w:rFonts w:hint="default" w:ascii="Calibri" w:hAnsi="Calibri" w:cs="Calibri"/>
              </w:rP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6BD857B">
            <w:pPr>
              <w:rPr>
                <w:rFonts w:hint="default" w:ascii="Calibri" w:hAnsi="Calibri" w:cs="Calibri"/>
              </w:rPr>
            </w:pPr>
            <w:r>
              <w:rPr>
                <w:rFonts w:hint="default" w:ascii="Calibri" w:hAnsi="Calibri" w:cs="Calibri"/>
              </w:rPr>
              <w:t>0.80 (0.54–1.18)</w:t>
            </w:r>
          </w:p>
        </w:tc>
      </w:tr>
      <w:tr w14:paraId="2B771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E168B46">
            <w:pPr>
              <w:rPr>
                <w:rFonts w:hint="default" w:ascii="Calibri" w:hAnsi="Calibri" w:cs="Calibri"/>
              </w:rPr>
            </w:pPr>
            <w:r>
              <w:rPr>
                <w:rFonts w:hint="default" w:ascii="Calibri" w:hAnsi="Calibri" w:cs="Calibri"/>
              </w:rPr>
              <w:t>Population context — diagnosed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1A4FD8A">
            <w:pPr>
              <w:rPr>
                <w:rFonts w:hint="default" w:ascii="Calibri" w:hAnsi="Calibri" w:cs="Calibri"/>
              </w:rPr>
            </w:pPr>
            <w:r>
              <w:rPr>
                <w:rFonts w:hint="default" w:ascii="Calibri" w:hAnsi="Calibri" w:cs="Calibri"/>
              </w:rPr>
              <w:t>6,639</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5F80FF">
            <w:pPr>
              <w:rPr>
                <w:rFonts w:hint="default" w:ascii="Calibri" w:hAnsi="Calibri" w:cs="Calibri"/>
              </w:rPr>
            </w:pPr>
            <w:r>
              <w:rPr>
                <w:rFonts w:hint="default" w:ascii="Calibri" w:hAnsi="Calibri" w:cs="Calibri"/>
              </w:rPr>
              <w:t>12.05 (10.68–13.56)</w:t>
            </w:r>
          </w:p>
        </w:tc>
      </w:tr>
    </w:tbl>
    <w:p w14:paraId="6B7C8AAA">
      <w:pPr>
        <w:spacing w:line="360" w:lineRule="auto"/>
        <w:rPr>
          <w:rFonts w:hint="default" w:ascii="Calibri" w:hAnsi="Calibri" w:cs="Calibri"/>
        </w:rPr>
      </w:pPr>
    </w:p>
    <w:p w14:paraId="23FCFC2D">
      <w:pPr>
        <w:pStyle w:val="4"/>
        <w:spacing w:line="360" w:lineRule="auto"/>
        <w:rPr>
          <w:rFonts w:hint="default" w:ascii="Calibri" w:hAnsi="Calibri" w:cs="Calibri"/>
        </w:rPr>
      </w:pPr>
      <w:r>
        <w:rPr>
          <w:rFonts w:hint="default" w:ascii="Calibri" w:hAnsi="Calibri" w:cs="Calibri"/>
          <w:b/>
        </w:rPr>
        <w:t>Table 2. Diagnosis discordance by disease severity and eye-care utilisation among item responders, US adults aged ≥ 40, NHANES 2005–2008.</w:t>
      </w:r>
    </w:p>
    <w:tbl>
      <w:tblPr>
        <w:tblStyle w:val="13"/>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009"/>
      </w:tblGrid>
      <w:tr w14:paraId="0D93E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7514E3C9">
            <w:pPr>
              <w:rPr>
                <w:rFonts w:hint="default" w:ascii="Calibri" w:hAnsi="Calibri" w:cs="Calibri"/>
              </w:rPr>
            </w:pPr>
            <w:r>
              <w:rPr>
                <w:rFonts w:hint="default" w:ascii="Calibri" w:hAnsi="Calibri" w:cs="Calibri"/>
              </w:rPr>
              <w:t>Group</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5E372E84">
            <w:pPr>
              <w:rPr>
                <w:rFonts w:hint="default" w:ascii="Calibri" w:hAnsi="Calibri" w:cs="Calibri"/>
              </w:rPr>
            </w:pPr>
            <w:r>
              <w:rPr>
                <w:rFonts w:hint="default" w:ascii="Calibri" w:hAnsi="Calibri" w:cs="Calibri"/>
              </w:rPr>
              <w:t>Unweighted n</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6823A658">
            <w:pPr>
              <w:rPr>
                <w:rFonts w:hint="default" w:ascii="Calibri" w:hAnsi="Calibri" w:cs="Calibri"/>
              </w:rPr>
            </w:pPr>
            <w:r>
              <w:rPr>
                <w:rFonts w:hint="default" w:ascii="Calibri" w:hAnsi="Calibri" w:cs="Calibri"/>
              </w:rPr>
              <w:t>% with no self-reported diagnosis (95% CI)</w:t>
            </w:r>
          </w:p>
        </w:tc>
      </w:tr>
      <w:tr w14:paraId="2346D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E105F62">
            <w:pPr>
              <w:rPr>
                <w:rFonts w:hint="default" w:ascii="Calibri" w:hAnsi="Calibri" w:cs="Calibri"/>
              </w:rPr>
            </w:pPr>
            <w:r>
              <w:rPr>
                <w:rFonts w:hint="default" w:ascii="Calibri" w:hAnsi="Calibri" w:cs="Calibri"/>
              </w:rPr>
              <w:t>Diabetes + objective retinopathy (any)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6381461">
            <w:pPr>
              <w:rPr>
                <w:rFonts w:hint="default" w:ascii="Calibri" w:hAnsi="Calibri" w:cs="Calibri"/>
              </w:rPr>
            </w:pPr>
            <w:r>
              <w:rPr>
                <w:rFonts w:hint="default" w:ascii="Calibri" w:hAnsi="Calibri" w:cs="Calibri"/>
              </w:rPr>
              <w:t>313</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533753">
            <w:pPr>
              <w:rPr>
                <w:rFonts w:hint="default" w:ascii="Calibri" w:hAnsi="Calibri" w:cs="Calibri"/>
              </w:rPr>
            </w:pPr>
            <w:r>
              <w:rPr>
                <w:rFonts w:hint="default" w:ascii="Calibri" w:hAnsi="Calibri" w:cs="Calibri"/>
              </w:rPr>
              <w:t>70.2 (63.8–75.9)</w:t>
            </w:r>
          </w:p>
        </w:tc>
      </w:tr>
      <w:tr w14:paraId="457EB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9168A2A">
            <w:pPr>
              <w:rPr>
                <w:rFonts w:hint="default" w:ascii="Calibri" w:hAnsi="Calibri" w:cs="Calibri"/>
              </w:rPr>
            </w:pPr>
            <w:r>
              <w:rPr>
                <w:rFonts w:hint="default" w:ascii="Calibri" w:hAnsi="Calibri" w:cs="Calibri"/>
              </w:rPr>
              <w:t>Mild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9E3A21E">
            <w:pPr>
              <w:rPr>
                <w:rFonts w:hint="default" w:ascii="Calibri" w:hAnsi="Calibri" w:cs="Calibri"/>
              </w:rPr>
            </w:pPr>
            <w:r>
              <w:rPr>
                <w:rFonts w:hint="default" w:ascii="Calibri" w:hAnsi="Calibri" w:cs="Calibri"/>
              </w:rPr>
              <w:t>197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F8AF69D">
            <w:pPr>
              <w:rPr>
                <w:rFonts w:hint="default" w:ascii="Calibri" w:hAnsi="Calibri" w:cs="Calibri"/>
              </w:rPr>
            </w:pPr>
            <w:r>
              <w:rPr>
                <w:rFonts w:hint="default" w:ascii="Calibri" w:hAnsi="Calibri" w:cs="Calibri"/>
              </w:rPr>
              <w:t>78.1 (71.3–83.7)</w:t>
            </w:r>
          </w:p>
        </w:tc>
      </w:tr>
      <w:tr w14:paraId="0493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53D0088">
            <w:pPr>
              <w:rPr>
                <w:rFonts w:hint="default" w:ascii="Calibri" w:hAnsi="Calibri" w:cs="Calibri"/>
              </w:rPr>
            </w:pPr>
            <w:r>
              <w:rPr>
                <w:rFonts w:hint="default" w:ascii="Calibri" w:hAnsi="Calibri" w:cs="Calibri"/>
              </w:rPr>
              <w:t>Moderate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32C394C">
            <w:pPr>
              <w:rPr>
                <w:rFonts w:hint="default" w:ascii="Calibri" w:hAnsi="Calibri" w:cs="Calibri"/>
              </w:rPr>
            </w:pPr>
            <w:r>
              <w:rPr>
                <w:rFonts w:hint="default" w:ascii="Calibri" w:hAnsi="Calibri" w:cs="Calibri"/>
              </w:rPr>
              <w:t>85</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C31C2E6">
            <w:pPr>
              <w:rPr>
                <w:rFonts w:hint="default" w:ascii="Calibri" w:hAnsi="Calibri" w:cs="Calibri"/>
              </w:rPr>
            </w:pPr>
            <w:r>
              <w:rPr>
                <w:rFonts w:hint="default" w:ascii="Calibri" w:hAnsi="Calibri" w:cs="Calibri"/>
              </w:rPr>
              <w:t>64.4 (48.3–77.8)</w:t>
            </w:r>
          </w:p>
        </w:tc>
      </w:tr>
      <w:tr w14:paraId="3246D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FBEF7D8">
            <w:pPr>
              <w:rPr>
                <w:rFonts w:hint="default" w:ascii="Calibri" w:hAnsi="Calibri" w:cs="Calibri"/>
              </w:rPr>
            </w:pPr>
            <w:r>
              <w:rPr>
                <w:rFonts w:hint="default" w:ascii="Calibri" w:hAnsi="Calibri" w:cs="Calibri"/>
              </w:rPr>
              <w:t>Severe-or-proliferative retinopathy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3D4420E">
            <w:pPr>
              <w:rPr>
                <w:rFonts w:hint="default" w:ascii="Calibri" w:hAnsi="Calibri" w:cs="Calibri"/>
              </w:rPr>
            </w:pPr>
            <w:r>
              <w:rPr>
                <w:rFonts w:hint="default" w:ascii="Calibri" w:hAnsi="Calibri" w:cs="Calibri"/>
              </w:rPr>
              <w:t>31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3F4F37">
            <w:pPr>
              <w:rPr>
                <w:rFonts w:hint="default" w:ascii="Calibri" w:hAnsi="Calibri" w:cs="Calibri"/>
              </w:rPr>
            </w:pPr>
            <w:r>
              <w:rPr>
                <w:rFonts w:hint="default" w:ascii="Calibri" w:hAnsi="Calibri" w:cs="Calibri"/>
              </w:rPr>
              <w:t>15.7 (5.0–39.7)</w:t>
            </w:r>
          </w:p>
        </w:tc>
      </w:tr>
      <w:tr w14:paraId="49F00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03D1836">
            <w:pPr>
              <w:rPr>
                <w:rFonts w:hint="default" w:ascii="Calibri" w:hAnsi="Calibri" w:cs="Calibri"/>
              </w:rPr>
            </w:pPr>
            <w:r>
              <w:rPr>
                <w:rFonts w:hint="default" w:ascii="Calibri" w:hAnsi="Calibri" w:cs="Calibri"/>
              </w:rPr>
              <w:t>Moderate-or-worse (pooled, overlapping)</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CF74FAD">
            <w:pPr>
              <w:rPr>
                <w:rFonts w:hint="default" w:ascii="Calibri" w:hAnsi="Calibri" w:cs="Calibri"/>
              </w:rPr>
            </w:pPr>
            <w:r>
              <w:rPr>
                <w:rFonts w:hint="default" w:ascii="Calibri" w:hAnsi="Calibri" w:cs="Calibri"/>
              </w:rPr>
              <w:t>116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C5C975">
            <w:pPr>
              <w:rPr>
                <w:rFonts w:hint="default" w:ascii="Calibri" w:hAnsi="Calibri" w:cs="Calibri"/>
              </w:rPr>
            </w:pPr>
            <w:r>
              <w:rPr>
                <w:rFonts w:hint="default" w:ascii="Calibri" w:hAnsi="Calibri" w:cs="Calibri"/>
              </w:rPr>
              <w:t>53.4 (38.7–67.5)</w:t>
            </w:r>
          </w:p>
        </w:tc>
      </w:tr>
      <w:tr w14:paraId="7AC7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590FDEB">
            <w:pPr>
              <w:rPr>
                <w:rFonts w:hint="default" w:ascii="Calibri" w:hAnsi="Calibri" w:cs="Calibri"/>
              </w:rPr>
            </w:pPr>
            <w:r>
              <w:rPr>
                <w:rFonts w:hint="default" w:ascii="Calibri" w:hAnsi="Calibri" w:cs="Calibri"/>
              </w:rPr>
              <w:t>Objective any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2045E2">
            <w:pPr>
              <w:rPr>
                <w:rFonts w:hint="default" w:ascii="Calibri" w:hAnsi="Calibri" w:cs="Calibri"/>
              </w:rPr>
            </w:pPr>
            <w:r>
              <w:rPr>
                <w:rFonts w:hint="default" w:ascii="Calibri" w:hAnsi="Calibri" w:cs="Calibri"/>
              </w:rPr>
              <w:t>436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EC3936F">
            <w:pPr>
              <w:rPr>
                <w:rFonts w:hint="default" w:ascii="Calibri" w:hAnsi="Calibri" w:cs="Calibri"/>
              </w:rPr>
            </w:pPr>
            <w:r>
              <w:rPr>
                <w:rFonts w:hint="default" w:ascii="Calibri" w:hAnsi="Calibri" w:cs="Calibri"/>
              </w:rPr>
              <w:t>82.2 (77.3–86.2)</w:t>
            </w:r>
          </w:p>
        </w:tc>
      </w:tr>
      <w:tr w14:paraId="63F9C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46102956">
            <w:pPr>
              <w:rPr>
                <w:rFonts w:hint="default" w:ascii="Calibri" w:hAnsi="Calibri" w:cs="Calibri"/>
              </w:rPr>
            </w:pPr>
            <w:r>
              <w:rPr>
                <w:rFonts w:hint="default" w:ascii="Calibri" w:hAnsi="Calibri" w:cs="Calibri"/>
              </w:rPr>
              <w:t>Early AMD</w:t>
            </w:r>
          </w:p>
        </w:tc>
        <w:tc>
          <w:tcPr>
            <w:tcW w:w="3009" w:type="dxa"/>
          </w:tcPr>
          <w:p w14:paraId="3328AD72">
            <w:pPr>
              <w:rPr>
                <w:rFonts w:hint="default" w:ascii="Calibri" w:hAnsi="Calibri" w:cs="Calibri"/>
              </w:rPr>
            </w:pPr>
            <w:r>
              <w:rPr>
                <w:rFonts w:hint="default" w:ascii="Calibri" w:hAnsi="Calibri" w:cs="Calibri"/>
              </w:rPr>
              <w:t>381</w:t>
            </w:r>
          </w:p>
        </w:tc>
        <w:tc>
          <w:tcPr>
            <w:tcW w:w="3009" w:type="dxa"/>
          </w:tcPr>
          <w:p w14:paraId="128573A9">
            <w:pPr>
              <w:rPr>
                <w:rFonts w:hint="default" w:ascii="Calibri" w:hAnsi="Calibri" w:cs="Calibri"/>
              </w:rPr>
            </w:pPr>
            <w:r>
              <w:rPr>
                <w:rFonts w:hint="default" w:ascii="Calibri" w:hAnsi="Calibri" w:cs="Calibri"/>
              </w:rPr>
              <w:t>87.9 (84.4–90.6)</w:t>
            </w:r>
          </w:p>
        </w:tc>
      </w:tr>
      <w:tr w14:paraId="5538F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717BF6C7">
            <w:pPr>
              <w:rPr>
                <w:rFonts w:hint="default" w:ascii="Calibri" w:hAnsi="Calibri" w:cs="Calibri"/>
              </w:rPr>
            </w:pPr>
            <w:r>
              <w:rPr>
                <w:rFonts w:hint="default" w:ascii="Calibri" w:hAnsi="Calibri" w:cs="Calibri"/>
              </w:rPr>
              <w:t>Late AMD</w:t>
            </w:r>
          </w:p>
        </w:tc>
        <w:tc>
          <w:tcPr>
            <w:tcW w:w="3009" w:type="dxa"/>
          </w:tcPr>
          <w:p w14:paraId="29FCA29D">
            <w:pPr>
              <w:rPr>
                <w:rFonts w:hint="default" w:ascii="Calibri" w:hAnsi="Calibri" w:cs="Calibri"/>
              </w:rPr>
            </w:pPr>
            <w:r>
              <w:rPr>
                <w:rFonts w:hint="default" w:ascii="Calibri" w:hAnsi="Calibri" w:cs="Calibri"/>
              </w:rPr>
              <w:t>55</w:t>
            </w:r>
          </w:p>
        </w:tc>
        <w:tc>
          <w:tcPr>
            <w:tcW w:w="3009" w:type="dxa"/>
          </w:tcPr>
          <w:p w14:paraId="62406C62">
            <w:pPr>
              <w:rPr>
                <w:rFonts w:hint="default" w:ascii="Calibri" w:hAnsi="Calibri" w:cs="Calibri"/>
              </w:rPr>
            </w:pPr>
            <w:r>
              <w:rPr>
                <w:rFonts w:hint="default" w:ascii="Calibri" w:hAnsi="Calibri" w:cs="Calibri"/>
              </w:rPr>
              <w:t>41.4 (25.3–59.6)</w:t>
            </w:r>
          </w:p>
        </w:tc>
      </w:tr>
      <w:tr w14:paraId="5AC9F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1877D6D6">
            <w:pPr>
              <w:rPr>
                <w:rFonts w:hint="default" w:ascii="Calibri" w:hAnsi="Calibri" w:cs="Calibri"/>
              </w:rPr>
            </w:pPr>
            <w:r>
              <w:rPr>
                <w:rFonts w:hint="default" w:ascii="Calibri" w:hAnsi="Calibri" w:cs="Calibri"/>
              </w:rPr>
              <w:t>Eye-care utilisation (% not examined within 12 months)</w:t>
            </w:r>
          </w:p>
        </w:tc>
        <w:tc>
          <w:tcPr>
            <w:tcW w:w="3009" w:type="dxa"/>
          </w:tcPr>
          <w:p w14:paraId="7D536F8C">
            <w:pPr>
              <w:rPr>
                <w:rFonts w:hint="default" w:ascii="Calibri" w:hAnsi="Calibri" w:cs="Calibri"/>
              </w:rPr>
            </w:pPr>
          </w:p>
        </w:tc>
        <w:tc>
          <w:tcPr>
            <w:tcW w:w="3009" w:type="dxa"/>
          </w:tcPr>
          <w:p w14:paraId="2D7E2FFF">
            <w:pPr>
              <w:rPr>
                <w:rFonts w:hint="default" w:ascii="Calibri" w:hAnsi="Calibri" w:cs="Calibri"/>
              </w:rPr>
            </w:pPr>
          </w:p>
        </w:tc>
      </w:tr>
      <w:tr w14:paraId="558C2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6458EC25">
            <w:pPr>
              <w:rPr>
                <w:rFonts w:hint="default" w:ascii="Calibri" w:hAnsi="Calibri" w:cs="Calibri"/>
              </w:rPr>
            </w:pPr>
            <w:r>
              <w:rPr>
                <w:rFonts w:hint="default" w:ascii="Calibri" w:hAnsi="Calibri" w:cs="Calibri"/>
              </w:rPr>
              <w:t>No dilated exam ≤ 12 mo, all adults with diabetes</w:t>
            </w:r>
          </w:p>
        </w:tc>
        <w:tc>
          <w:tcPr>
            <w:tcW w:w="3009" w:type="dxa"/>
          </w:tcPr>
          <w:p w14:paraId="03C1E788">
            <w:pPr>
              <w:rPr>
                <w:rFonts w:hint="default" w:ascii="Calibri" w:hAnsi="Calibri" w:cs="Calibri"/>
              </w:rPr>
            </w:pPr>
            <w:r>
              <w:rPr>
                <w:rFonts w:hint="default" w:ascii="Calibri" w:hAnsi="Calibri" w:cs="Calibri"/>
              </w:rPr>
              <w:t>1,119</w:t>
            </w:r>
          </w:p>
        </w:tc>
        <w:tc>
          <w:tcPr>
            <w:tcW w:w="3009" w:type="dxa"/>
          </w:tcPr>
          <w:p w14:paraId="3ED26D8F">
            <w:pPr>
              <w:rPr>
                <w:rFonts w:hint="default" w:ascii="Calibri" w:hAnsi="Calibri" w:cs="Calibri"/>
              </w:rPr>
            </w:pPr>
            <w:r>
              <w:rPr>
                <w:rFonts w:hint="default" w:ascii="Calibri" w:hAnsi="Calibri" w:cs="Calibri"/>
              </w:rPr>
              <w:t>35.8 (31.3–40.5)</w:t>
            </w:r>
          </w:p>
        </w:tc>
      </w:tr>
      <w:tr w14:paraId="20DEF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37A28DD6">
            <w:pPr>
              <w:rPr>
                <w:rFonts w:hint="default" w:ascii="Calibri" w:hAnsi="Calibri" w:cs="Calibri"/>
              </w:rPr>
            </w:pPr>
            <w:r>
              <w:rPr>
                <w:rFonts w:hint="default" w:ascii="Calibri" w:hAnsi="Calibri" w:cs="Calibri"/>
              </w:rPr>
              <w:t>No dilated exam ≤ 12 mo, diabetes + retinopathy</w:t>
            </w:r>
          </w:p>
        </w:tc>
        <w:tc>
          <w:tcPr>
            <w:tcW w:w="3009" w:type="dxa"/>
          </w:tcPr>
          <w:p w14:paraId="578225D5">
            <w:pPr>
              <w:rPr>
                <w:rFonts w:hint="default" w:ascii="Calibri" w:hAnsi="Calibri" w:cs="Calibri"/>
              </w:rPr>
            </w:pPr>
            <w:r>
              <w:rPr>
                <w:rFonts w:hint="default" w:ascii="Calibri" w:hAnsi="Calibri" w:cs="Calibri"/>
              </w:rPr>
              <w:t>313</w:t>
            </w:r>
          </w:p>
        </w:tc>
        <w:tc>
          <w:tcPr>
            <w:tcW w:w="3009" w:type="dxa"/>
          </w:tcPr>
          <w:p w14:paraId="3DA52CAA">
            <w:pPr>
              <w:rPr>
                <w:rFonts w:hint="default" w:ascii="Calibri" w:hAnsi="Calibri" w:cs="Calibri"/>
              </w:rPr>
            </w:pPr>
            <w:r>
              <w:rPr>
                <w:rFonts w:hint="default" w:ascii="Calibri" w:hAnsi="Calibri" w:cs="Calibri"/>
              </w:rPr>
              <w:t>32.4 (25.9–39.7)</w:t>
            </w:r>
          </w:p>
        </w:tc>
      </w:tr>
    </w:tbl>
    <w:p w14:paraId="586A4EE5">
      <w:pPr>
        <w:spacing w:line="360" w:lineRule="auto"/>
        <w:rPr>
          <w:rFonts w:hint="default" w:ascii="Calibri" w:hAnsi="Calibri" w:cs="Calibri"/>
        </w:rPr>
      </w:pPr>
    </w:p>
    <w:p w14:paraId="492381B7">
      <w:pPr>
        <w:spacing w:after="120" w:line="360" w:lineRule="auto"/>
        <w:rPr>
          <w:rFonts w:hint="default" w:ascii="Calibri" w:hAnsi="Calibri" w:cs="Calibri"/>
        </w:rPr>
      </w:pPr>
      <w:r>
        <w:rPr>
          <w:rFonts w:hint="default" w:ascii="Calibri" w:hAnsi="Calibri" w:eastAsia="Arial" w:cs="Calibri"/>
          <w:b w:val="0"/>
          <w:i/>
          <w:iCs/>
        </w:rPr>
        <w:t>The diagnosis gap is the absence of a recalled, patient-reported diagnosis among item responders, not a chart-confirmed absence. Early and late AMD are computed separately from their own responder sets (the total 82.2% is not partitioned by subtraction).</w:t>
      </w:r>
    </w:p>
    <w:p w14:paraId="0FDAB9B1">
      <w:pPr>
        <w:pStyle w:val="4"/>
        <w:spacing w:line="360" w:lineRule="auto"/>
        <w:rPr>
          <w:rFonts w:hint="default" w:ascii="Calibri" w:hAnsi="Calibri" w:cs="Calibri"/>
        </w:rPr>
      </w:pPr>
      <w:r>
        <w:rPr>
          <w:rFonts w:hint="default" w:ascii="Calibri" w:hAnsi="Calibri" w:cs="Calibri"/>
          <w:b/>
        </w:rPr>
        <w:t>Table 3. Survey-adjusted odds of having no self-reported diagnosis (given objectively graded disease): DR core, AMD core, and the exploratory DR eye-care model.</w:t>
      </w:r>
    </w:p>
    <w:tbl>
      <w:tblPr>
        <w:tblStyle w:val="13"/>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12"/>
        <w:gridCol w:w="2409"/>
        <w:gridCol w:w="2409"/>
        <w:gridCol w:w="1496"/>
      </w:tblGrid>
      <w:tr w14:paraId="64695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3F2BAAEE">
            <w:pPr>
              <w:rPr>
                <w:rFonts w:hint="default" w:ascii="Calibri" w:hAnsi="Calibri" w:cs="Calibri"/>
              </w:rPr>
            </w:pPr>
            <w:r>
              <w:rPr>
                <w:rFonts w:hint="default" w:ascii="Calibri" w:hAnsi="Calibri" w:cs="Calibri"/>
              </w:rPr>
              <w:t>Term</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22622E2A">
            <w:pPr>
              <w:rPr>
                <w:rFonts w:hint="default" w:ascii="Calibri" w:hAnsi="Calibri" w:cs="Calibri"/>
              </w:rPr>
            </w:pPr>
            <w:r>
              <w:rPr>
                <w:rFonts w:hint="default" w:ascii="Calibri" w:hAnsi="Calibri" w:cs="Calibri"/>
              </w:rPr>
              <w:t>DR core (n = 187)</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43B0D3B4">
            <w:pPr>
              <w:rPr>
                <w:rFonts w:hint="default" w:ascii="Calibri" w:hAnsi="Calibri" w:cs="Calibri"/>
              </w:rPr>
            </w:pPr>
            <w:r>
              <w:rPr>
                <w:rFonts w:hint="default" w:ascii="Calibri" w:hAnsi="Calibri" w:cs="Calibri"/>
              </w:rPr>
              <w:t>AMD core (n = 226)</w:t>
            </w:r>
          </w:p>
        </w:tc>
        <w:tc>
          <w:tcPr>
            <w:tcW w:w="1701" w:type="dxa"/>
          </w:tcPr>
          <w:p w14:paraId="0226B10A">
            <w:pPr>
              <w:rPr>
                <w:rFonts w:hint="default" w:ascii="Calibri" w:hAnsi="Calibri" w:cs="Calibri"/>
              </w:rPr>
            </w:pPr>
            <w:r>
              <w:rPr>
                <w:rFonts w:hint="default" w:ascii="Calibri" w:hAnsi="Calibri" w:cs="Calibri"/>
              </w:rPr>
              <w:t>DR eye-care (n = 187)</w:t>
            </w:r>
          </w:p>
        </w:tc>
      </w:tr>
      <w:tr w14:paraId="7331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4B21A85">
            <w:pPr>
              <w:rPr>
                <w:rFonts w:hint="default" w:ascii="Calibri" w:hAnsi="Calibri" w:cs="Calibri"/>
              </w:rPr>
            </w:pPr>
            <w:r>
              <w:rPr>
                <w:rFonts w:hint="default" w:ascii="Calibri" w:hAnsi="Calibri" w:cs="Calibri"/>
              </w:rPr>
              <w:t>Age (per year)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97D6D7">
            <w:pPr>
              <w:rPr>
                <w:rFonts w:hint="default" w:ascii="Calibri" w:hAnsi="Calibri" w:cs="Calibri"/>
              </w:rPr>
            </w:pPr>
            <w:r>
              <w:rPr>
                <w:rFonts w:hint="default" w:ascii="Calibri" w:hAnsi="Calibri" w:cs="Calibri"/>
              </w:rPr>
              <w:t>0.99 (0.96–1.02)</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C31062D">
            <w:pPr>
              <w:rPr>
                <w:rFonts w:hint="default" w:ascii="Calibri" w:hAnsi="Calibri" w:cs="Calibri"/>
              </w:rPr>
            </w:pPr>
            <w:r>
              <w:rPr>
                <w:rFonts w:hint="default" w:ascii="Calibri" w:hAnsi="Calibri" w:cs="Calibri"/>
              </w:rPr>
              <w:t>0.93 (0.89–0.96) †</w:t>
            </w:r>
          </w:p>
        </w:tc>
        <w:tc>
          <w:tcPr>
            <w:tcW w:w="1701" w:type="dxa"/>
          </w:tcPr>
          <w:p w14:paraId="00F8DB02">
            <w:pPr>
              <w:rPr>
                <w:rFonts w:hint="default" w:ascii="Calibri" w:hAnsi="Calibri" w:cs="Calibri"/>
              </w:rPr>
            </w:pPr>
            <w:r>
              <w:rPr>
                <w:rFonts w:hint="default" w:ascii="Calibri" w:hAnsi="Calibri" w:cs="Calibri"/>
              </w:rPr>
              <w:t>1.00 (0.97–1.03)</w:t>
            </w:r>
          </w:p>
        </w:tc>
      </w:tr>
      <w:tr w14:paraId="2A17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F071672">
            <w:pPr>
              <w:rPr>
                <w:rFonts w:hint="default" w:ascii="Calibri" w:hAnsi="Calibri" w:cs="Calibri"/>
              </w:rPr>
            </w:pPr>
            <w:r>
              <w:rPr>
                <w:rFonts w:hint="default" w:ascii="Calibri" w:hAnsi="Calibri" w:cs="Calibri"/>
              </w:rPr>
              <w:t>Male vs female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86DB4B0">
            <w:pPr>
              <w:rPr>
                <w:rFonts w:hint="default" w:ascii="Calibri" w:hAnsi="Calibri" w:cs="Calibri"/>
              </w:rPr>
            </w:pPr>
            <w:r>
              <w:rPr>
                <w:rFonts w:hint="default" w:ascii="Calibri" w:hAnsi="Calibri" w:cs="Calibri"/>
              </w:rPr>
              <w:t>1.29 (0.45–3.71)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90FEB98">
            <w:pPr>
              <w:rPr>
                <w:rFonts w:hint="default" w:ascii="Calibri" w:hAnsi="Calibri" w:cs="Calibri"/>
              </w:rPr>
            </w:pPr>
            <w:r>
              <w:rPr>
                <w:rFonts w:hint="default" w:ascii="Calibri" w:hAnsi="Calibri" w:cs="Calibri"/>
              </w:rPr>
              <w:t>0.99 (0.32–3.08)</w:t>
            </w:r>
          </w:p>
        </w:tc>
        <w:tc>
          <w:tcPr>
            <w:tcW w:w="1701" w:type="dxa"/>
          </w:tcPr>
          <w:p w14:paraId="339420A5">
            <w:pPr>
              <w:rPr>
                <w:rFonts w:hint="default" w:ascii="Calibri" w:hAnsi="Calibri" w:cs="Calibri"/>
              </w:rPr>
            </w:pPr>
            <w:r>
              <w:rPr>
                <w:rFonts w:hint="default" w:ascii="Calibri" w:hAnsi="Calibri" w:cs="Calibri"/>
              </w:rPr>
              <w:t>1.09 (0.35–3.38)</w:t>
            </w:r>
          </w:p>
        </w:tc>
      </w:tr>
      <w:tr w14:paraId="2E7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7B75B0">
            <w:pPr>
              <w:rPr>
                <w:rFonts w:hint="default" w:ascii="Calibri" w:hAnsi="Calibri" w:cs="Calibri"/>
              </w:rPr>
            </w:pPr>
            <w:r>
              <w:rPr>
                <w:rFonts w:hint="default" w:ascii="Calibri" w:hAnsi="Calibri" w:cs="Calibri"/>
              </w:rPr>
              <w:t>Education &lt;HS vs ≥HS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5EB48A9">
            <w:pPr>
              <w:rPr>
                <w:rFonts w:hint="default" w:ascii="Calibri" w:hAnsi="Calibri" w:cs="Calibri"/>
              </w:rPr>
            </w:pPr>
            <w:r>
              <w:rPr>
                <w:rFonts w:hint="default" w:ascii="Calibri" w:hAnsi="Calibri" w:cs="Calibri"/>
              </w:rPr>
              <w:t>0.67 (0.28–1.61)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0F0C72B">
            <w:pPr>
              <w:rPr>
                <w:rFonts w:hint="default" w:ascii="Calibri" w:hAnsi="Calibri" w:cs="Calibri"/>
              </w:rPr>
            </w:pPr>
            <w:r>
              <w:rPr>
                <w:rFonts w:hint="default" w:ascii="Calibri" w:hAnsi="Calibri" w:cs="Calibri"/>
              </w:rPr>
              <w:t>0.82 (0.31–2.21)</w:t>
            </w:r>
          </w:p>
        </w:tc>
        <w:tc>
          <w:tcPr>
            <w:tcW w:w="1701" w:type="dxa"/>
          </w:tcPr>
          <w:p w14:paraId="45483AA1">
            <w:pPr>
              <w:rPr>
                <w:rFonts w:hint="default" w:ascii="Calibri" w:hAnsi="Calibri" w:cs="Calibri"/>
              </w:rPr>
            </w:pPr>
            <w:r>
              <w:rPr>
                <w:rFonts w:hint="default" w:ascii="Calibri" w:hAnsi="Calibri" w:cs="Calibri"/>
              </w:rPr>
              <w:t>0.90 (0.26–3.07)</w:t>
            </w:r>
          </w:p>
        </w:tc>
      </w:tr>
      <w:tr w14:paraId="64B20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76277B2">
            <w:pPr>
              <w:rPr>
                <w:rFonts w:hint="default" w:ascii="Calibri" w:hAnsi="Calibri" w:cs="Calibri"/>
              </w:rPr>
            </w:pPr>
            <w:r>
              <w:rPr>
                <w:rFonts w:hint="default" w:ascii="Calibri" w:hAnsi="Calibri" w:cs="Calibri"/>
              </w:rPr>
              <w:t>Race non-White vs White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613699">
            <w:pPr>
              <w:rPr>
                <w:rFonts w:hint="default" w:ascii="Calibri" w:hAnsi="Calibri" w:cs="Calibri"/>
              </w:rPr>
            </w:pPr>
            <w:r>
              <w:rPr>
                <w:rFonts w:hint="default" w:ascii="Calibri" w:hAnsi="Calibri" w:cs="Calibri"/>
              </w:rPr>
              <w:t>1.57 (0.49–5.07)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8E1F304">
            <w:pPr>
              <w:rPr>
                <w:rFonts w:hint="default" w:ascii="Calibri" w:hAnsi="Calibri" w:cs="Calibri"/>
              </w:rPr>
            </w:pPr>
            <w:r>
              <w:rPr>
                <w:rFonts w:hint="default" w:ascii="Calibri" w:hAnsi="Calibri" w:cs="Calibri"/>
              </w:rPr>
              <w:t>1.56 (0.29–8.52)</w:t>
            </w:r>
          </w:p>
        </w:tc>
        <w:tc>
          <w:tcPr>
            <w:tcW w:w="1701" w:type="dxa"/>
          </w:tcPr>
          <w:p w14:paraId="1F6F8618">
            <w:pPr>
              <w:rPr>
                <w:rFonts w:hint="default" w:ascii="Calibri" w:hAnsi="Calibri" w:cs="Calibri"/>
              </w:rPr>
            </w:pPr>
            <w:r>
              <w:rPr>
                <w:rFonts w:hint="default" w:ascii="Calibri" w:hAnsi="Calibri" w:cs="Calibri"/>
              </w:rPr>
              <w:t>1.90 (0.58–6.23)</w:t>
            </w:r>
          </w:p>
        </w:tc>
      </w:tr>
      <w:tr w14:paraId="4C554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C218DB0">
            <w:pPr>
              <w:rPr>
                <w:rFonts w:hint="default" w:ascii="Calibri" w:hAnsi="Calibri" w:cs="Calibri"/>
              </w:rPr>
            </w:pPr>
            <w:r>
              <w:rPr>
                <w:rFonts w:hint="default" w:ascii="Calibri" w:hAnsi="Calibri" w:cs="Calibri"/>
              </w:rPr>
              <w:t>Poverty-income ratio (per unit)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B9F31A7">
            <w:pPr>
              <w:rPr>
                <w:rFonts w:hint="default" w:ascii="Calibri" w:hAnsi="Calibri" w:cs="Calibri"/>
              </w:rPr>
            </w:pPr>
            <w:r>
              <w:rPr>
                <w:rFonts w:hint="default" w:ascii="Calibri" w:hAnsi="Calibri" w:cs="Calibri"/>
              </w:rPr>
              <w:t>1.34 (0.92–1.96)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25D2E07">
            <w:pPr>
              <w:rPr>
                <w:rFonts w:hint="default" w:ascii="Calibri" w:hAnsi="Calibri" w:cs="Calibri"/>
              </w:rPr>
            </w:pPr>
            <w:r>
              <w:rPr>
                <w:rFonts w:hint="default" w:ascii="Calibri" w:hAnsi="Calibri" w:cs="Calibri"/>
              </w:rPr>
              <w:t>0.88 (0.60–1.31)</w:t>
            </w:r>
          </w:p>
        </w:tc>
        <w:tc>
          <w:tcPr>
            <w:tcW w:w="1701" w:type="dxa"/>
          </w:tcPr>
          <w:p w14:paraId="356CDD63">
            <w:pPr>
              <w:rPr>
                <w:rFonts w:hint="default" w:ascii="Calibri" w:hAnsi="Calibri" w:cs="Calibri"/>
              </w:rPr>
            </w:pPr>
            <w:r>
              <w:rPr>
                <w:rFonts w:hint="default" w:ascii="Calibri" w:hAnsi="Calibri" w:cs="Calibri"/>
              </w:rPr>
              <w:t>1.49 (1.04–2.15)</w:t>
            </w:r>
          </w:p>
        </w:tc>
      </w:tr>
      <w:tr w14:paraId="59090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A54FBC">
            <w:pPr>
              <w:rPr>
                <w:rFonts w:hint="default" w:ascii="Calibri" w:hAnsi="Calibri" w:cs="Calibri"/>
              </w:rPr>
            </w:pPr>
            <w:r>
              <w:rPr>
                <w:rFonts w:hint="default" w:ascii="Calibri" w:hAnsi="Calibri" w:cs="Calibri"/>
              </w:rPr>
              <w:t>Recent dilated exam (within 12 mo)</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457642">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04D9212">
            <w:pPr>
              <w:rPr>
                <w:rFonts w:hint="default" w:ascii="Calibri" w:hAnsi="Calibri" w:cs="Calibri"/>
              </w:rPr>
            </w:pPr>
            <w:r>
              <w:rPr>
                <w:rFonts w:hint="default" w:ascii="Calibri" w:hAnsi="Calibri" w:cs="Calibri"/>
              </w:rPr>
              <w:t>—</w:t>
            </w:r>
          </w:p>
        </w:tc>
        <w:tc>
          <w:tcPr>
            <w:tcW w:w="1701" w:type="dxa"/>
          </w:tcPr>
          <w:p w14:paraId="342542D7">
            <w:pPr>
              <w:rPr>
                <w:rFonts w:hint="default" w:ascii="Calibri" w:hAnsi="Calibri" w:cs="Calibri"/>
              </w:rPr>
            </w:pPr>
            <w:r>
              <w:rPr>
                <w:rFonts w:hint="default" w:ascii="Calibri" w:hAnsi="Calibri" w:cs="Calibri"/>
              </w:rPr>
              <w:t>0.30 (0.10–0.92)</w:t>
            </w:r>
          </w:p>
        </w:tc>
      </w:tr>
      <w:tr w14:paraId="094E5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7357BAE">
            <w:pPr>
              <w:rPr>
                <w:rFonts w:hint="default" w:ascii="Calibri" w:hAnsi="Calibri" w:cs="Calibri"/>
              </w:rPr>
            </w:pPr>
            <w:r>
              <w:rPr>
                <w:rFonts w:hint="default" w:ascii="Calibri" w:hAnsi="Calibri" w:cs="Calibri"/>
              </w:rPr>
              <w:t>Moderate NPDR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B4094B6">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04D304">
            <w:pPr>
              <w:rPr>
                <w:rFonts w:hint="default" w:ascii="Calibri" w:hAnsi="Calibri" w:cs="Calibri"/>
              </w:rPr>
            </w:pPr>
            <w:r>
              <w:rPr>
                <w:rFonts w:hint="default" w:ascii="Calibri" w:hAnsi="Calibri" w:cs="Calibri"/>
              </w:rPr>
              <w:t>—</w:t>
            </w:r>
          </w:p>
        </w:tc>
        <w:tc>
          <w:tcPr>
            <w:tcW w:w="1701" w:type="dxa"/>
          </w:tcPr>
          <w:p w14:paraId="3CA844CA">
            <w:pPr>
              <w:rPr>
                <w:rFonts w:hint="default" w:ascii="Calibri" w:hAnsi="Calibri" w:cs="Calibri"/>
              </w:rPr>
            </w:pPr>
            <w:r>
              <w:rPr>
                <w:rFonts w:hint="default" w:ascii="Calibri" w:hAnsi="Calibri" w:cs="Calibri"/>
              </w:rPr>
              <w:t>0.43 (0.15–1.21)</w:t>
            </w:r>
          </w:p>
        </w:tc>
      </w:tr>
      <w:tr w14:paraId="139E6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489FCEC">
            <w:pPr>
              <w:rPr>
                <w:rFonts w:hint="default" w:ascii="Calibri" w:hAnsi="Calibri" w:cs="Calibri"/>
              </w:rPr>
            </w:pPr>
            <w:r>
              <w:rPr>
                <w:rFonts w:hint="default" w:ascii="Calibri" w:hAnsi="Calibri" w:cs="Calibri"/>
              </w:rPr>
              <w:t>Severe/proliferative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79D2215">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2EC27BE">
            <w:pPr>
              <w:rPr>
                <w:rFonts w:hint="default" w:ascii="Calibri" w:hAnsi="Calibri" w:cs="Calibri"/>
              </w:rPr>
            </w:pPr>
            <w:r>
              <w:rPr>
                <w:rFonts w:hint="default" w:ascii="Calibri" w:hAnsi="Calibri" w:cs="Calibri"/>
              </w:rPr>
              <w:t>—</w:t>
            </w:r>
          </w:p>
        </w:tc>
        <w:tc>
          <w:tcPr>
            <w:tcW w:w="1701" w:type="dxa"/>
          </w:tcPr>
          <w:p w14:paraId="146D1BE2">
            <w:pPr>
              <w:rPr>
                <w:rFonts w:hint="default" w:ascii="Calibri" w:hAnsi="Calibri" w:cs="Calibri"/>
              </w:rPr>
            </w:pPr>
            <w:r>
              <w:rPr>
                <w:rFonts w:hint="default" w:ascii="Calibri" w:hAnsi="Calibri" w:cs="Calibri"/>
              </w:rPr>
              <w:t>0.05 (0.01–0.24) †</w:t>
            </w:r>
          </w:p>
        </w:tc>
      </w:tr>
    </w:tbl>
    <w:p w14:paraId="36C9F3FE">
      <w:pPr>
        <w:spacing w:line="360" w:lineRule="auto"/>
        <w:rPr>
          <w:rFonts w:hint="default" w:ascii="Calibri" w:hAnsi="Calibri" w:cs="Calibri"/>
        </w:rPr>
      </w:pPr>
    </w:p>
    <w:p w14:paraId="61FBBFE3">
      <w:pPr>
        <w:spacing w:after="120" w:line="360" w:lineRule="auto"/>
        <w:rPr>
          <w:rFonts w:hint="default" w:ascii="Calibri" w:hAnsi="Calibri" w:cs="Calibri"/>
        </w:rPr>
      </w:pPr>
      <w:r>
        <w:rPr>
          <w:rFonts w:hint="default" w:ascii="Calibri" w:hAnsi="Calibri" w:cs="Calibri"/>
        </w:rPr>
        <w:t>Each column is a separate model with its own adjustment set and must not be read as one pooled estimate. DR core (n = 187) and AMD core (n = 226) adjust for age, sex, education, race/ethnicity and poverty-income ratio; the DR eye-care model (n = 187) additionally adjusts for insurance and severity and includes recent dilated examination. Insurance was not estimable in the AMD model (complete separation). Intervals use the design-based t critical value on each model's residual degrees of freedom, matching the Wald P values; per-model design df, rank, residual df, t-multiplier, coefficients, SEs, CIs and raw/Holm P are audited in Supplementary Table S2, where Holm-adjusted P values are tabulated († marks the two terms whose Holm-adjusted P &lt; 0.05: AMD age and DR severe/proliferative). Income is reported once per model and must not be conflated across columns; missing-data sensitivity is in Supplementary Table S3.</w:t>
      </w:r>
    </w:p>
    <w:p w14:paraId="31573B83">
      <w:pPr>
        <w:spacing w:line="360" w:lineRule="auto"/>
        <w:rPr>
          <w:rFonts w:hint="default" w:ascii="Calibri" w:hAnsi="Calibri" w:cs="Calibri"/>
        </w:rPr>
      </w:pPr>
    </w:p>
    <w:p w14:paraId="20120A3A">
      <w:pPr>
        <w:spacing w:line="360" w:lineRule="auto"/>
        <w:rPr>
          <w:rFonts w:hint="default" w:ascii="Calibri" w:hAnsi="Calibri" w:cs="Calibri"/>
        </w:rPr>
      </w:pPr>
    </w:p>
    <w:p w14:paraId="4650902A">
      <w:pPr>
        <w:spacing w:after="120" w:line="360" w:lineRule="auto"/>
        <w:rPr>
          <w:rFonts w:hint="default" w:ascii="Calibri" w:hAnsi="Calibri" w:cs="Calibri"/>
        </w:rPr>
      </w:pPr>
      <w:r>
        <w:rPr>
          <w:rFonts w:hint="default" w:ascii="Calibri" w:hAnsi="Calibri" w:eastAsia="Arial" w:cs="Calibri"/>
          <w:b w:val="0"/>
          <w:i/>
          <w:iCs/>
        </w:rPr>
        <w:t>Supplementary Tables S1–S9 and Figures S1–S2 provide detailed cohort reconciliation, severity analyses, model diagnostics, sensitivity analyses, variable provenance and additional results. All supplementary values are generated from ‘numbers_v7.csv’.</w:t>
      </w:r>
    </w:p>
    <w:p w14:paraId="5741F85C">
      <w:pPr>
        <w:pBdr>
          <w:bottom w:val="single" w:color="999999" w:sz="6" w:space="1"/>
        </w:pBdr>
        <w:spacing w:line="360" w:lineRule="auto"/>
        <w:rPr>
          <w:rFonts w:hint="default" w:ascii="Calibri" w:hAnsi="Calibri" w:cs="Calibri"/>
        </w:rPr>
      </w:pPr>
    </w:p>
    <w:p w14:paraId="2AF1797B">
      <w:pPr>
        <w:pStyle w:val="3"/>
        <w:spacing w:line="360" w:lineRule="auto"/>
        <w:rPr>
          <w:rFonts w:hint="default" w:ascii="Calibri" w:hAnsi="Calibri" w:cs="Calibri"/>
        </w:rPr>
      </w:pPr>
      <w:r>
        <w:rPr>
          <w:rFonts w:hint="default" w:ascii="Calibri" w:hAnsi="Calibri" w:eastAsia="Arial" w:cs="Calibri"/>
          <w:b/>
        </w:rPr>
        <w:t>References</w:t>
      </w:r>
    </w:p>
    <w:p w14:paraId="50C71A27">
      <w:pPr>
        <w:pStyle w:val="18"/>
        <w:numPr>
          <w:ilvl w:val="0"/>
          <w:numId w:val="1"/>
        </w:numPr>
        <w:spacing w:line="360" w:lineRule="auto"/>
        <w:rPr>
          <w:rFonts w:hint="default" w:ascii="Calibri" w:hAnsi="Calibri" w:cs="Calibri"/>
        </w:rPr>
      </w:pPr>
      <w:r>
        <w:rPr>
          <w:rFonts w:hint="default" w:ascii="Calibri" w:hAnsi="Calibri" w:eastAsia="Arial" w:cs="Calibri"/>
          <w:b w:val="0"/>
        </w:rPr>
        <w:t>Flaxman SR, Bourne RRA, Resnikoff S, Ackerman P, Giannaccare G, Graetz SB, et al. Global causes of blindness and distance vision impairment 1990–2020: a systematic review and meta-analysis. Lancet Glob Health. 2017;5(12):e1221-e1234. PMID:29032195. doi:10.1016/S2214-109X(17)30393-5</w:t>
      </w:r>
    </w:p>
    <w:p w14:paraId="2DA0959B">
      <w:pPr>
        <w:pStyle w:val="18"/>
        <w:numPr>
          <w:ilvl w:val="0"/>
          <w:numId w:val="1"/>
        </w:numPr>
        <w:spacing w:line="360" w:lineRule="auto"/>
        <w:rPr>
          <w:rFonts w:hint="default" w:ascii="Calibri" w:hAnsi="Calibri" w:cs="Calibri"/>
        </w:rPr>
      </w:pPr>
      <w:r>
        <w:rPr>
          <w:rFonts w:hint="default" w:ascii="Calibri" w:hAnsi="Calibri" w:eastAsia="Arial" w:cs="Calibri"/>
          <w:b w:val="0"/>
        </w:rPr>
        <w:t>World Health Organization. World report on vision. Geneva: World Health Organization; 2019. ISBN 978-92-4-151657-0.</w:t>
      </w:r>
    </w:p>
    <w:p w14:paraId="70C06A1A">
      <w:pPr>
        <w:pStyle w:val="18"/>
        <w:numPr>
          <w:ilvl w:val="0"/>
          <w:numId w:val="1"/>
        </w:numPr>
        <w:spacing w:line="360" w:lineRule="auto"/>
        <w:rPr>
          <w:rFonts w:hint="default" w:ascii="Calibri" w:hAnsi="Calibri" w:cs="Calibri"/>
        </w:rPr>
      </w:pPr>
      <w:r>
        <w:rPr>
          <w:rFonts w:hint="default" w:ascii="Calibri" w:hAnsi="Calibri" w:eastAsia="Arial" w:cs="Calibri"/>
          <w:b w:val="0"/>
        </w:rPr>
        <w:t>Diabetes Control and Complications Trial Research Group (Nathan DM, Genuth S, Cleary PA, et al.). The effect of intensive treatment of diabetes on the development and progression of long-term complications in insulin-dependent diabetes mellitus. N Engl J Med. 1993;329(14):977-986. PMID:8366922. doi:10.1056/NEJM199309303291401</w:t>
      </w:r>
    </w:p>
    <w:p w14:paraId="323DB656">
      <w:pPr>
        <w:pStyle w:val="18"/>
        <w:numPr>
          <w:ilvl w:val="0"/>
          <w:numId w:val="1"/>
        </w:numPr>
        <w:spacing w:line="360" w:lineRule="auto"/>
        <w:rPr>
          <w:rFonts w:hint="default" w:ascii="Calibri" w:hAnsi="Calibri" w:cs="Calibri"/>
        </w:rPr>
      </w:pPr>
      <w:r>
        <w:rPr>
          <w:rFonts w:hint="default" w:ascii="Calibri" w:hAnsi="Calibri" w:eastAsia="Arial" w:cs="Calibri"/>
          <w:b w:val="0"/>
        </w:rPr>
        <w:t>Rosenfeld PJ, Brown DM, Heier JS, Boyer DS, Kaiser PC, Chung M, et al. (MARINA Study Group). Ranibizumab for neovascular age-related macular degeneration. N Engl J Med. 2006;355(14):1419-1431. PMID:17021318. doi:10.1056/NEJMoa054481</w:t>
      </w:r>
    </w:p>
    <w:p w14:paraId="2668254F">
      <w:pPr>
        <w:pStyle w:val="18"/>
        <w:numPr>
          <w:ilvl w:val="0"/>
          <w:numId w:val="1"/>
        </w:numPr>
        <w:spacing w:line="360" w:lineRule="auto"/>
        <w:rPr>
          <w:rFonts w:hint="default" w:ascii="Calibri" w:hAnsi="Calibri" w:cs="Calibri"/>
        </w:rPr>
      </w:pPr>
      <w:r>
        <w:rPr>
          <w:rFonts w:hint="default" w:ascii="Calibri" w:hAnsi="Calibri" w:eastAsia="Arial" w:cs="Calibri"/>
          <w:b w:val="0"/>
        </w:rPr>
        <w:t>Lee R, Wong TY, Sabanayagam C. Epidemiology of diabetic retinopathy, diabetic macular edema and related vision loss. Eye Vis (Lond). 2015;2:17. PMID:26605370. doi:10.1186/s40662-015-0026-2</w:t>
      </w:r>
    </w:p>
    <w:p w14:paraId="62DA0207">
      <w:pPr>
        <w:pStyle w:val="18"/>
        <w:numPr>
          <w:ilvl w:val="0"/>
          <w:numId w:val="1"/>
        </w:numPr>
        <w:spacing w:line="360" w:lineRule="auto"/>
        <w:rPr>
          <w:rFonts w:hint="default" w:ascii="Calibri" w:hAnsi="Calibri" w:cs="Calibri"/>
        </w:rPr>
      </w:pPr>
      <w:r>
        <w:rPr>
          <w:rFonts w:hint="default" w:ascii="Calibri" w:hAnsi="Calibri" w:eastAsia="Arial" w:cs="Calibri"/>
          <w:b w:val="0"/>
        </w:rPr>
        <w:t>Zhang X, Saaddine JB, Chou CF, Cotch MF, Cheng YJ, Geiss LS, et al. Prevalence of diabetic retinopathy in the United States, 2005-2008. JAMA. 2010;304(6):649-656. PMID:20699456. doi:10.1001/jama.2010.1111</w:t>
      </w:r>
    </w:p>
    <w:p w14:paraId="3CF2A132">
      <w:pPr>
        <w:pStyle w:val="18"/>
        <w:numPr>
          <w:ilvl w:val="0"/>
          <w:numId w:val="1"/>
        </w:numPr>
        <w:spacing w:line="360" w:lineRule="auto"/>
        <w:rPr>
          <w:rFonts w:hint="default" w:ascii="Calibri" w:hAnsi="Calibri" w:cs="Calibri"/>
        </w:rPr>
      </w:pPr>
      <w:r>
        <w:rPr>
          <w:rFonts w:hint="default" w:ascii="Calibri" w:hAnsi="Calibri" w:eastAsia="Arial" w:cs="Calibri"/>
          <w:b w:val="0"/>
        </w:rPr>
        <w:t>Yau JW, Rogers SL, Kawasaki R, Akagi T, et al. Global prevalence and major risk factors of diabetic retinopathy. Diabetes Care. 2012;35(3):556-564. PMID:22301125. doi:10.2337/dc11-1909</w:t>
      </w:r>
    </w:p>
    <w:p w14:paraId="7120649C">
      <w:pPr>
        <w:pStyle w:val="18"/>
        <w:numPr>
          <w:ilvl w:val="0"/>
          <w:numId w:val="1"/>
        </w:numPr>
        <w:spacing w:line="360" w:lineRule="auto"/>
        <w:rPr>
          <w:rFonts w:hint="default" w:ascii="Calibri" w:hAnsi="Calibri" w:cs="Calibri"/>
        </w:rPr>
      </w:pPr>
      <w:r>
        <w:rPr>
          <w:rFonts w:hint="default" w:ascii="Calibri" w:hAnsi="Calibri" w:eastAsia="Arial" w:cs="Calibri"/>
          <w:b w:val="0"/>
        </w:rPr>
        <w:t>Friedman DS, O'Colmain BJ, Munoz B, Tomany SC, McCarty CA, de Jong PTVM, et al. Prevalence of age-related macular degeneration in the United States. Arch Ophthalmol. 2004;122(4):564-572. PMID:15078675. doi:10.1001/archopht.122.4.564</w:t>
      </w:r>
    </w:p>
    <w:p w14:paraId="420CCC6C">
      <w:pPr>
        <w:pStyle w:val="18"/>
        <w:numPr>
          <w:ilvl w:val="0"/>
          <w:numId w:val="1"/>
        </w:numPr>
        <w:spacing w:line="360" w:lineRule="auto"/>
        <w:rPr>
          <w:rFonts w:hint="default" w:ascii="Calibri" w:hAnsi="Calibri" w:cs="Calibri"/>
        </w:rPr>
      </w:pPr>
      <w:r>
        <w:rPr>
          <w:rFonts w:hint="default" w:ascii="Calibri" w:hAnsi="Calibri" w:eastAsia="Arial" w:cs="Calibri"/>
          <w:b w:val="0"/>
        </w:rPr>
        <w:t>Nwanyanwu K, Andoh J, Chen E, Xu Y, Granados A, Deng Y, Desai M, Nunez-Smith M. Social determinants associated with diabetic retinopathy awareness: National Health and Nutrition Examination Survey (2005-2008). Am J Ophthalmol. 2025;278:389-401. PMID:40550446. doi:10.1016/j.ajo.2025.06.028</w:t>
      </w:r>
    </w:p>
    <w:p w14:paraId="16AD0CFE">
      <w:pPr>
        <w:pStyle w:val="18"/>
        <w:numPr>
          <w:ilvl w:val="0"/>
          <w:numId w:val="1"/>
        </w:numPr>
        <w:spacing w:line="360" w:lineRule="auto"/>
        <w:rPr>
          <w:rFonts w:hint="default" w:ascii="Calibri" w:hAnsi="Calibri" w:cs="Calibri"/>
        </w:rPr>
      </w:pPr>
      <w:r>
        <w:rPr>
          <w:rFonts w:hint="default" w:ascii="Calibri" w:hAnsi="Calibri" w:eastAsia="Arial" w:cs="Calibri"/>
          <w:b w:val="0"/>
        </w:rPr>
        <w:t>Yee H, Wong CMJ, Gupta P, Thakur S, Fenwick E, Lamoureux EL, Man REK. Prevalence, risk determinants, and burden of undiagnosed age-related eye diseases among older Asian adults. JAMA Ophthalmol. 2026;144(1):23-32. PMID:41264299. doi:10.1001/jamaophthalmol.2025.4623</w:t>
      </w:r>
    </w:p>
    <w:p w14:paraId="0FAD010A">
      <w:pPr>
        <w:pStyle w:val="18"/>
        <w:numPr>
          <w:ilvl w:val="0"/>
          <w:numId w:val="1"/>
        </w:numPr>
        <w:spacing w:line="360" w:lineRule="auto"/>
        <w:rPr>
          <w:rFonts w:hint="default" w:ascii="Calibri" w:hAnsi="Calibri" w:cs="Calibri"/>
        </w:rPr>
      </w:pPr>
      <w:r>
        <w:rPr>
          <w:rFonts w:hint="default" w:ascii="Calibri" w:hAnsi="Calibri" w:eastAsia="Arial" w:cs="Calibri"/>
          <w:b w:val="0"/>
        </w:rPr>
        <w:t>Rein DB, et al. Prevalence of age-related macular degeneration in the United States in 2019. JAMA Ophthalmol. 2022;140(12):1202-1208. PMID:36326752. doi:10.1001/jamaophthalmol.2022.4401</w:t>
      </w:r>
    </w:p>
    <w:p w14:paraId="58C5F20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2016 National Health Interview Survey (NHIS), Sample Adult (samadult) file and codebook. https://ftp.cdc.gov/pub/Health_Statistics/NCHS/Datasets/NHIS/2016/</w:t>
      </w:r>
    </w:p>
    <w:p w14:paraId="5013E8F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2005–2008 Ophthalmology – Retinal Photographs (OPXRET), Vision (VIQ), Diabetes (DIQ), Health-Utilisation (HUQ) and Health-Insurance (HIQ) questionnaires: data files and documentation. https://wwwn.cdc.gov/nchs/nhanes/continuousnhanes/default.aspx?BeginYear=2005</w:t>
      </w:r>
    </w:p>
    <w:p w14:paraId="64572BE0">
      <w:pPr>
        <w:pStyle w:val="18"/>
        <w:numPr>
          <w:ilvl w:val="0"/>
          <w:numId w:val="1"/>
        </w:numPr>
        <w:spacing w:line="360" w:lineRule="auto"/>
        <w:rPr>
          <w:rFonts w:hint="default" w:ascii="Calibri" w:hAnsi="Calibri" w:cs="Calibri"/>
        </w:rPr>
      </w:pPr>
      <w:r>
        <w:rPr>
          <w:rFonts w:hint="default" w:ascii="Calibri" w:hAnsi="Calibri" w:eastAsia="Arial" w:cs="Calibri"/>
          <w:b w:val="0"/>
        </w:rPr>
        <w:t>von Elm E, Altman DG, Egger M, Pocock SJ, Gøtzsche PC, Vandenbroucke JP; STROBE Initiative. The Strengthening the Reporting of Observational Studies in Epidemiology (STROBE) statement: guidelines for reporting observational studies. Ann Intern Med. 2007;147(8):573-577. PMID:17938396. doi:10.7326/0003-4819-147-8-200710160-00010.</w:t>
      </w:r>
    </w:p>
    <w:p w14:paraId="2101D018">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Analytic and Reporting Guidelines (sample weights). https://wwwn.cdc.gov/nchs/nhanes/analyticguidelines.aspx</w:t>
      </w:r>
    </w:p>
    <w:p w14:paraId="0E975694">
      <w:pPr>
        <w:pStyle w:val="18"/>
        <w:numPr>
          <w:ilvl w:val="0"/>
          <w:numId w:val="1"/>
        </w:numPr>
        <w:spacing w:line="360" w:lineRule="auto"/>
        <w:rPr>
          <w:rFonts w:hint="default" w:ascii="Calibri" w:hAnsi="Calibri" w:cs="Calibri"/>
        </w:rPr>
      </w:pPr>
      <w:r>
        <w:rPr>
          <w:rFonts w:hint="default" w:ascii="Calibri" w:hAnsi="Calibri" w:eastAsia="Arial" w:cs="Calibri"/>
          <w:b w:val="0"/>
        </w:rPr>
        <w:t>Lim JI, Kim SJ, Bailey ST, Kovach JL, Vemulakonda GA, Ying GS, Flaxel CJ; American Academy of Ophthalmology Preferred Practice Pattern Retina/Vitreous Panel. Diabetic Retinopathy Preferred Practice Pattern®. Ophthalmology. 2025;132(4):P75-P162. PMID:39918521. doi:10.1016/j.ophtha.2024.12.020</w:t>
      </w: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15F05">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7B955C">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57B955C">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decimal"/>
      <w:lvlText w:val="%1."/>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useFELayout/>
    <w:compatSetting w:name="compatibilityMode" w:uri="http://schemas.microsoft.com/office/word" w:val="15"/>
  </w:compat>
  <w:rsids>
    <w:rsidRoot w:val="00000000"/>
    <w:rsid w:val="63883DF0"/>
    <w:rsid w:val="6F5E56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Arial" w:cs="Arial"/>
      <w:sz w:val="24"/>
      <w:szCs w:val="24"/>
    </w:rPr>
  </w:style>
  <w:style w:type="paragraph" w:styleId="2">
    <w:name w:val="heading 1"/>
    <w:next w:val="1"/>
    <w:qFormat/>
    <w:uiPriority w:val="0"/>
    <w:pPr>
      <w:spacing w:before="240" w:after="240"/>
      <w:outlineLvl w:val="0"/>
    </w:pPr>
    <w:rPr>
      <w:rFonts w:ascii="Arial" w:hAnsi="Arial" w:eastAsia="Arial" w:cs="Arial"/>
      <w:b/>
      <w:bCs/>
      <w:color w:val="000000"/>
      <w:sz w:val="32"/>
      <w:szCs w:val="32"/>
    </w:rPr>
  </w:style>
  <w:style w:type="paragraph" w:styleId="3">
    <w:name w:val="heading 2"/>
    <w:next w:val="1"/>
    <w:qFormat/>
    <w:uiPriority w:val="0"/>
    <w:pPr>
      <w:spacing w:before="180" w:after="180"/>
      <w:outlineLvl w:val="1"/>
    </w:pPr>
    <w:rPr>
      <w:rFonts w:ascii="Arial" w:hAnsi="Arial" w:eastAsia="Arial" w:cs="Arial"/>
      <w:b/>
      <w:bCs/>
      <w:color w:val="000000"/>
      <w:sz w:val="28"/>
      <w:szCs w:val="28"/>
    </w:rPr>
  </w:style>
  <w:style w:type="paragraph" w:styleId="4">
    <w:name w:val="heading 3"/>
    <w:next w:val="1"/>
    <w:qFormat/>
    <w:uiPriority w:val="0"/>
    <w:pPr>
      <w:spacing w:before="120" w:after="120"/>
      <w:outlineLvl w:val="2"/>
    </w:pPr>
    <w:rPr>
      <w:rFonts w:ascii="Arial" w:hAnsi="Arial" w:eastAsia="Arial" w:cs="Arial"/>
      <w:b/>
      <w:bCs/>
      <w:color w:val="000000"/>
      <w:sz w:val="26"/>
      <w:szCs w:val="26"/>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14">
    <w:name w:val="Default Paragraph Font"/>
    <w:semiHidden/>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8">
    <w:name w:val="endnote text"/>
    <w:link w:val="20"/>
    <w:semiHidden/>
    <w:unhideWhenUsed/>
    <w:uiPriority w:val="99"/>
    <w:pPr>
      <w:spacing w:after="0" w:line="240" w:lineRule="auto"/>
    </w:pPr>
    <w:rPr>
      <w:rFonts w:ascii="Arial" w:hAnsi="Arial" w:eastAsia="Arial" w:cs="Arial"/>
      <w:sz w:val="20"/>
      <w:szCs w:val="20"/>
    </w:rPr>
  </w:style>
  <w:style w:type="paragraph" w:styleId="9">
    <w:name w:val="footer"/>
    <w:basedOn w:val="1"/>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1">
    <w:name w:val="footnote text"/>
    <w:link w:val="19"/>
    <w:semiHidden/>
    <w:unhideWhenUsed/>
    <w:uiPriority w:val="99"/>
    <w:pPr>
      <w:spacing w:after="0" w:line="240" w:lineRule="auto"/>
    </w:pPr>
    <w:rPr>
      <w:rFonts w:ascii="Arial" w:hAnsi="Arial" w:eastAsia="Arial" w:cs="Arial"/>
      <w:sz w:val="20"/>
      <w:szCs w:val="20"/>
    </w:rPr>
  </w:style>
  <w:style w:type="paragraph" w:styleId="12">
    <w:name w:val="Title"/>
    <w:qFormat/>
    <w:uiPriority w:val="0"/>
    <w:rPr>
      <w:rFonts w:ascii="Arial" w:hAnsi="Arial" w:eastAsia="Arial" w:cs="Arial"/>
      <w:sz w:val="56"/>
      <w:szCs w:val="56"/>
    </w:rPr>
  </w:style>
  <w:style w:type="character" w:styleId="15">
    <w:name w:val="endnote reference"/>
    <w:semiHidden/>
    <w:unhideWhenUsed/>
    <w:qFormat/>
    <w:uiPriority w:val="99"/>
    <w:rPr>
      <w:vertAlign w:val="superscript"/>
    </w:rPr>
  </w:style>
  <w:style w:type="character" w:styleId="16">
    <w:name w:val="Hyperlink"/>
    <w:unhideWhenUsed/>
    <w:uiPriority w:val="99"/>
    <w:rPr>
      <w:color w:val="0563C1"/>
      <w:u w:val="single"/>
    </w:rPr>
  </w:style>
  <w:style w:type="character" w:styleId="17">
    <w:name w:val="footnote reference"/>
    <w:semiHidden/>
    <w:unhideWhenUsed/>
    <w:qFormat/>
    <w:uiPriority w:val="99"/>
    <w:rPr>
      <w:vertAlign w:val="superscript"/>
    </w:rPr>
  </w:style>
  <w:style w:type="paragraph" w:styleId="18">
    <w:name w:val="List Paragraph"/>
    <w:qFormat/>
    <w:uiPriority w:val="0"/>
    <w:rPr>
      <w:rFonts w:ascii="Arial" w:hAnsi="Arial" w:eastAsia="Arial" w:cs="Arial"/>
      <w:sz w:val="24"/>
      <w:szCs w:val="24"/>
    </w:rPr>
  </w:style>
  <w:style w:type="character" w:customStyle="1" w:styleId="19">
    <w:name w:val="Footnote Text Char"/>
    <w:link w:val="11"/>
    <w:semiHidden/>
    <w:unhideWhenUsed/>
    <w:uiPriority w:val="99"/>
    <w:rPr>
      <w:sz w:val="20"/>
      <w:szCs w:val="20"/>
    </w:rPr>
  </w:style>
  <w:style w:type="character" w:customStyle="1" w:styleId="20">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23</Pages>
  <Words>5868</Words>
  <Characters>36945</Characters>
  <TotalTime>1</TotalTime>
  <ScaleCrop>false</ScaleCrop>
  <LinksUpToDate>false</LinksUpToDate>
  <CharactersWithSpaces>42741</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2026-10-29T14:37:00Z</dcterms:created>
  <dc:creator>Un-named</dc:creator>
  <cp:lastModifiedBy>YL</cp:lastModifiedBy>
  <dcterms:modified xsi:type="dcterms:W3CDTF">2026-10-31T15:48:47Z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eyJoZGlkIjoiYjk5ODM0YmMxOWJiYWQyNDU4MGIzYWRmYTA0ZmI5NDciLCJ1c2VySWQiOiI0NDkyMDE3NTIifQ==</vt:lpwstr>
  </property>
  <property fmtid="{D5CDD505-2E9C-101B-9397-08002B2CF9AE}" pid="3" name="KSOProductBuildVer">
    <vt:lpwstr>2052-12.1.0.23542</vt:lpwstr>
  </property>
  <property fmtid="{D5CDD505-2E9C-101B-9397-08002B2CF9AE}" pid="4" name="ICV">
    <vt:lpwstr>CE56328F309F4A229779387A96BD3CAB_12</vt:lpwstr>
  </property>
</Properties>
</file>