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5AB2" w:rsidRPr="00775AB2" w:rsidRDefault="00775AB2" w:rsidP="00775AB2">
      <w:pPr>
        <w:jc w:val="center"/>
        <w:rPr>
          <w:rFonts w:ascii="Times New Roman" w:hAnsi="Times New Roman" w:cs="Times New Roman"/>
          <w:b/>
          <w:bCs/>
          <w:sz w:val="24"/>
          <w:szCs w:val="24"/>
        </w:rPr>
      </w:pPr>
      <w:r w:rsidRPr="00775AB2">
        <w:rPr>
          <w:rFonts w:ascii="Times New Roman" w:hAnsi="Times New Roman" w:cs="Times New Roman"/>
          <w:b/>
          <w:bCs/>
          <w:sz w:val="24"/>
          <w:szCs w:val="24"/>
        </w:rPr>
        <w:t>Components of Cognitive Conceptualization in CBT</w:t>
      </w:r>
    </w:p>
    <w:p w:rsidR="00775AB2" w:rsidRPr="00775AB2" w:rsidRDefault="00775AB2" w:rsidP="00775AB2">
      <w:pPr>
        <w:rPr>
          <w:rFonts w:ascii="Times New Roman" w:hAnsi="Times New Roman" w:cs="Times New Roman"/>
          <w:sz w:val="24"/>
          <w:szCs w:val="24"/>
        </w:rPr>
      </w:pPr>
      <w:r w:rsidRPr="00775AB2">
        <w:rPr>
          <w:rFonts w:ascii="Times New Roman" w:hAnsi="Times New Roman" w:cs="Times New Roman"/>
          <w:sz w:val="24"/>
          <w:szCs w:val="24"/>
        </w:rPr>
        <w:t>Cognitive conceptualization in CBT helps the therapist understand the client’s problems better. It acts like a roadmap that explains how a person’s thoughts, emotions, and behaviours are connected. According to CBT, it is not the situation itself that causes distress, but the way a person interprets the situation. A situation leads to automatic thoughts, which then influence emotions and behaviour.</w:t>
      </w:r>
    </w:p>
    <w:p w:rsidR="00775AB2" w:rsidRPr="00775AB2" w:rsidRDefault="00775AB2" w:rsidP="00775AB2">
      <w:pPr>
        <w:rPr>
          <w:rFonts w:ascii="Times New Roman" w:hAnsi="Times New Roman" w:cs="Times New Roman"/>
          <w:sz w:val="24"/>
          <w:szCs w:val="24"/>
        </w:rPr>
      </w:pPr>
      <w:r w:rsidRPr="00775AB2">
        <w:rPr>
          <w:rFonts w:ascii="Times New Roman" w:hAnsi="Times New Roman" w:cs="Times New Roman"/>
          <w:sz w:val="24"/>
          <w:szCs w:val="24"/>
        </w:rPr>
        <w:t>The main components of cognitive conceptualization are core beliefs, intermediate beliefs, and automatic thoughts.</w:t>
      </w:r>
    </w:p>
    <w:p w:rsidR="00775AB2" w:rsidRPr="00775AB2" w:rsidRDefault="00775AB2" w:rsidP="00775AB2">
      <w:pPr>
        <w:rPr>
          <w:rFonts w:ascii="Times New Roman" w:hAnsi="Times New Roman" w:cs="Times New Roman"/>
          <w:sz w:val="24"/>
          <w:szCs w:val="24"/>
        </w:rPr>
      </w:pPr>
      <w:r w:rsidRPr="00775AB2">
        <w:rPr>
          <w:rFonts w:ascii="Times New Roman" w:hAnsi="Times New Roman" w:cs="Times New Roman"/>
          <w:sz w:val="24"/>
          <w:szCs w:val="24"/>
        </w:rPr>
        <w:t>For example, a girl doing her fellowship is struggling to start the thematic analysis for her research despite completing most of her data collection. She feels stressed, drained, and unable to concentrate. During her postgraduate studies, she faced similar difficulties with her thesis and was diagnosed with moderate depression. Her maladaptive coping includes avoiding work, watching series, and poor sleep.</w:t>
      </w:r>
    </w:p>
    <w:p w:rsidR="00775AB2" w:rsidRPr="00775AB2" w:rsidRDefault="00775AB2" w:rsidP="00775AB2">
      <w:pPr>
        <w:rPr>
          <w:rFonts w:ascii="Times New Roman" w:hAnsi="Times New Roman" w:cs="Times New Roman"/>
          <w:sz w:val="24"/>
          <w:szCs w:val="24"/>
        </w:rPr>
      </w:pPr>
      <w:r w:rsidRPr="00775AB2">
        <w:rPr>
          <w:rFonts w:ascii="Times New Roman" w:hAnsi="Times New Roman" w:cs="Times New Roman"/>
          <w:sz w:val="24"/>
          <w:szCs w:val="24"/>
        </w:rPr>
        <w:t xml:space="preserve">Her </w:t>
      </w:r>
      <w:r w:rsidRPr="00775AB2">
        <w:rPr>
          <w:rFonts w:ascii="Times New Roman" w:hAnsi="Times New Roman" w:cs="Times New Roman"/>
          <w:b/>
          <w:bCs/>
          <w:sz w:val="24"/>
          <w:szCs w:val="24"/>
        </w:rPr>
        <w:t>core belief</w:t>
      </w:r>
      <w:r w:rsidRPr="00775AB2">
        <w:rPr>
          <w:rFonts w:ascii="Times New Roman" w:hAnsi="Times New Roman" w:cs="Times New Roman"/>
          <w:sz w:val="24"/>
          <w:szCs w:val="24"/>
        </w:rPr>
        <w:t xml:space="preserve"> may be, “I am not capable” or “I will fail.” These deep beliefs influence how she views academic challenges.</w:t>
      </w:r>
    </w:p>
    <w:p w:rsidR="00775AB2" w:rsidRPr="00775AB2" w:rsidRDefault="00775AB2" w:rsidP="00775AB2">
      <w:pPr>
        <w:rPr>
          <w:rFonts w:ascii="Times New Roman" w:hAnsi="Times New Roman" w:cs="Times New Roman"/>
          <w:sz w:val="24"/>
          <w:szCs w:val="24"/>
        </w:rPr>
      </w:pPr>
      <w:r w:rsidRPr="00775AB2">
        <w:rPr>
          <w:rFonts w:ascii="Times New Roman" w:hAnsi="Times New Roman" w:cs="Times New Roman"/>
          <w:sz w:val="24"/>
          <w:szCs w:val="24"/>
        </w:rPr>
        <w:t xml:space="preserve">Her </w:t>
      </w:r>
      <w:r w:rsidRPr="00775AB2">
        <w:rPr>
          <w:rFonts w:ascii="Times New Roman" w:hAnsi="Times New Roman" w:cs="Times New Roman"/>
          <w:b/>
          <w:bCs/>
          <w:sz w:val="24"/>
          <w:szCs w:val="24"/>
        </w:rPr>
        <w:t>intermediate beliefs</w:t>
      </w:r>
      <w:r w:rsidRPr="00775AB2">
        <w:rPr>
          <w:rFonts w:ascii="Times New Roman" w:hAnsi="Times New Roman" w:cs="Times New Roman"/>
          <w:sz w:val="24"/>
          <w:szCs w:val="24"/>
        </w:rPr>
        <w:t xml:space="preserve"> include:</w:t>
      </w:r>
    </w:p>
    <w:p w:rsidR="00775AB2" w:rsidRPr="00775AB2" w:rsidRDefault="00775AB2" w:rsidP="00775AB2">
      <w:pPr>
        <w:numPr>
          <w:ilvl w:val="0"/>
          <w:numId w:val="1"/>
        </w:numPr>
        <w:rPr>
          <w:rFonts w:ascii="Times New Roman" w:hAnsi="Times New Roman" w:cs="Times New Roman"/>
          <w:sz w:val="24"/>
          <w:szCs w:val="24"/>
        </w:rPr>
      </w:pPr>
      <w:r w:rsidRPr="00775AB2">
        <w:rPr>
          <w:rFonts w:ascii="Times New Roman" w:hAnsi="Times New Roman" w:cs="Times New Roman"/>
          <w:b/>
          <w:bCs/>
          <w:sz w:val="24"/>
          <w:szCs w:val="24"/>
        </w:rPr>
        <w:t>Attitude:</w:t>
      </w:r>
      <w:r w:rsidRPr="00775AB2">
        <w:rPr>
          <w:rFonts w:ascii="Times New Roman" w:hAnsi="Times New Roman" w:cs="Times New Roman"/>
          <w:sz w:val="24"/>
          <w:szCs w:val="24"/>
        </w:rPr>
        <w:t xml:space="preserve"> “Research work should be perfect.” </w:t>
      </w:r>
    </w:p>
    <w:p w:rsidR="00775AB2" w:rsidRPr="00775AB2" w:rsidRDefault="00775AB2" w:rsidP="00775AB2">
      <w:pPr>
        <w:numPr>
          <w:ilvl w:val="0"/>
          <w:numId w:val="1"/>
        </w:numPr>
        <w:rPr>
          <w:rFonts w:ascii="Times New Roman" w:hAnsi="Times New Roman" w:cs="Times New Roman"/>
          <w:sz w:val="24"/>
          <w:szCs w:val="24"/>
        </w:rPr>
      </w:pPr>
      <w:r w:rsidRPr="00775AB2">
        <w:rPr>
          <w:rFonts w:ascii="Times New Roman" w:hAnsi="Times New Roman" w:cs="Times New Roman"/>
          <w:b/>
          <w:bCs/>
          <w:sz w:val="24"/>
          <w:szCs w:val="24"/>
        </w:rPr>
        <w:t>Rule:</w:t>
      </w:r>
      <w:r w:rsidRPr="00775AB2">
        <w:rPr>
          <w:rFonts w:ascii="Times New Roman" w:hAnsi="Times New Roman" w:cs="Times New Roman"/>
          <w:sz w:val="24"/>
          <w:szCs w:val="24"/>
        </w:rPr>
        <w:t xml:space="preserve"> “I must complete my work without difficulty.” </w:t>
      </w:r>
    </w:p>
    <w:p w:rsidR="00775AB2" w:rsidRPr="00775AB2" w:rsidRDefault="00775AB2" w:rsidP="00775AB2">
      <w:pPr>
        <w:numPr>
          <w:ilvl w:val="0"/>
          <w:numId w:val="1"/>
        </w:numPr>
        <w:rPr>
          <w:rFonts w:ascii="Times New Roman" w:hAnsi="Times New Roman" w:cs="Times New Roman"/>
          <w:sz w:val="24"/>
          <w:szCs w:val="24"/>
        </w:rPr>
      </w:pPr>
      <w:r w:rsidRPr="00775AB2">
        <w:rPr>
          <w:rFonts w:ascii="Times New Roman" w:hAnsi="Times New Roman" w:cs="Times New Roman"/>
          <w:b/>
          <w:bCs/>
          <w:sz w:val="24"/>
          <w:szCs w:val="24"/>
        </w:rPr>
        <w:t>Assumption:</w:t>
      </w:r>
      <w:r w:rsidRPr="00775AB2">
        <w:rPr>
          <w:rFonts w:ascii="Times New Roman" w:hAnsi="Times New Roman" w:cs="Times New Roman"/>
          <w:sz w:val="24"/>
          <w:szCs w:val="24"/>
        </w:rPr>
        <w:t xml:space="preserve"> “If I cannot do the analysis properly, then I am a failure.” </w:t>
      </w:r>
    </w:p>
    <w:p w:rsidR="00775AB2" w:rsidRPr="00775AB2" w:rsidRDefault="00775AB2" w:rsidP="00775AB2">
      <w:pPr>
        <w:rPr>
          <w:rFonts w:ascii="Times New Roman" w:hAnsi="Times New Roman" w:cs="Times New Roman"/>
          <w:sz w:val="24"/>
          <w:szCs w:val="24"/>
        </w:rPr>
      </w:pPr>
      <w:r w:rsidRPr="00775AB2">
        <w:rPr>
          <w:rFonts w:ascii="Times New Roman" w:hAnsi="Times New Roman" w:cs="Times New Roman"/>
          <w:sz w:val="24"/>
          <w:szCs w:val="24"/>
        </w:rPr>
        <w:t xml:space="preserve">When she thinks about starting analysis, she experiences </w:t>
      </w:r>
      <w:r w:rsidRPr="00775AB2">
        <w:rPr>
          <w:rFonts w:ascii="Times New Roman" w:hAnsi="Times New Roman" w:cs="Times New Roman"/>
          <w:b/>
          <w:bCs/>
          <w:sz w:val="24"/>
          <w:szCs w:val="24"/>
        </w:rPr>
        <w:t>automatic thoughts</w:t>
      </w:r>
      <w:r w:rsidRPr="00775AB2">
        <w:rPr>
          <w:rFonts w:ascii="Times New Roman" w:hAnsi="Times New Roman" w:cs="Times New Roman"/>
          <w:sz w:val="24"/>
          <w:szCs w:val="24"/>
        </w:rPr>
        <w:t xml:space="preserve"> such as “I cannot do this” or “I will fail again.” These thoughts lead to stress, anxiety, hopelessness, and avoidance behaviours.</w:t>
      </w:r>
    </w:p>
    <w:p w:rsidR="00775AB2" w:rsidRPr="00775AB2" w:rsidRDefault="00775AB2" w:rsidP="00775AB2">
      <w:pPr>
        <w:rPr>
          <w:rFonts w:ascii="Times New Roman" w:hAnsi="Times New Roman" w:cs="Times New Roman"/>
          <w:sz w:val="24"/>
          <w:szCs w:val="24"/>
        </w:rPr>
      </w:pPr>
      <w:r w:rsidRPr="00775AB2">
        <w:rPr>
          <w:rFonts w:ascii="Times New Roman" w:hAnsi="Times New Roman" w:cs="Times New Roman"/>
          <w:sz w:val="24"/>
          <w:szCs w:val="24"/>
        </w:rPr>
        <w:t>Thus, cognitive conceptualization helps in understanding how past experiences, beliefs, and thoughts contribute to the client’s current emotional and behavioural difficulties.</w:t>
      </w:r>
    </w:p>
    <w:p w:rsidR="00775AB2" w:rsidRPr="00775AB2" w:rsidRDefault="00775AB2">
      <w:pPr>
        <w:rPr>
          <w:rFonts w:ascii="Times New Roman" w:hAnsi="Times New Roman" w:cs="Times New Roman"/>
          <w:sz w:val="24"/>
          <w:szCs w:val="24"/>
        </w:rPr>
      </w:pPr>
      <w:bookmarkStart w:id="0" w:name="_GoBack"/>
      <w:bookmarkEnd w:id="0"/>
    </w:p>
    <w:sectPr w:rsidR="00775AB2" w:rsidRPr="00775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75481"/>
    <w:multiLevelType w:val="multilevel"/>
    <w:tmpl w:val="2DA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AB2"/>
    <w:rsid w:val="00775AB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4A941"/>
  <w15:chartTrackingRefBased/>
  <w15:docId w15:val="{95A3DAB7-E73F-4874-892B-AFD345FF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898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MYPC</cp:lastModifiedBy>
  <cp:revision>1</cp:revision>
  <dcterms:created xsi:type="dcterms:W3CDTF">2026-05-08T10:01:00Z</dcterms:created>
  <dcterms:modified xsi:type="dcterms:W3CDTF">2026-05-08T10:03:00Z</dcterms:modified>
</cp:coreProperties>
</file>