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2.6</w:t>
      </w:r>
    </w:p>
    <w:p>
      <w:pPr>
        <w:spacing w:after="40"/>
        <w:jc w:val="center"/>
      </w:pPr>
      <w:r>
        <w:rPr>
          <w:color w:val="6B7280"/>
          <w:sz w:val="22"/>
          <w:szCs w:val="22"/>
        </w:rPr>
        <w:t xml:space="preserve">Aggiornato al 03/10/2026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 xml:space="preserve">Il link vale una sola volta e solo 60 secondi. Se è scaduto, richiedine un altro dalla pagina di accesso. L’email deve essere già registrata in Projexa.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p>
    <w:p>
      <w:pPr>
        <w:pStyle w:val="Heading2"/>
        <w:spacing w:after="100" w:before="200"/>
      </w:pPr>
      <w:r>
        <w:t xml:space="preserve">Password dimenticata e cambio password</w:t>
      </w:r>
    </w:p>
    <w:p>
      <w:pPr>
        <w:spacing w:after="120"/>
      </w:pPr>
      <w:r>
        <w:rPr>
          <w:b w:val="false"/>
          <w:bCs w:val="false"/>
        </w:rPr>
        <w:t xml:space="preserve">Nella pagina di accesso usa </w:t>
      </w:r>
      <w:r>
        <w:rPr>
          <w:b/>
          <w:bCs/>
        </w:rPr>
        <w:t xml:space="preserve">Dimenticata?</w:t>
      </w:r>
      <w:r>
        <w:rPr>
          <w:b w:val="false"/>
          <w:bCs w:val="false"/>
        </w:rPr>
        <w:t xml:space="preserve"> per ricevere via email un link (valido un’ora, monouso) con cui impostare una nuova password.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menu a sinistra</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il cliente e, se c’è, il progetto;</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menu a sinistra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menu a sinistra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menu a sinistra mostra l’elenco dei clienti: cliccando un cliente vedi i suoi progetti, e cliccando un progetto ne apri la scheda.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menu a sinistra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rPr/>
        <w:t>Rinominare un progetto</w:t>
      </w:r>
    </w:p>
    <w:p>
      <w:pPr>
        <w:spacing w:after="120"/>
      </w:pPr>
      <w:r>
        <w:rPr>
          <w:bCs w:val="false"/>
        </w:rPr>
        <w:t>In Progetti clienti, nell’elenco dei progetti di un cliente, ogni progetto ha una matita accanto al nome: premila, scrivi il nuovo nome e conferma. Il nome cambia ovunque (scheda, ricerca progetti, indicatori della dashboard) e resta protetto come gli altri dati del progetto.</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Gantt</w:t>
      </w:r>
    </w:p>
    <w:p>
      <w:pPr>
        <w:spacing w:after="120"/>
      </w:pPr>
      <w:r>
        <w:rPr>
          <w:b w:val="false"/>
          <w:bCs w:val="false"/>
        </w:rPr>
        <w:t xml:space="preserve">Nella sezione </w:t>
      </w:r>
      <w:r>
        <w:rPr>
          <w:b/>
          <w:bCs/>
        </w:rPr>
        <w:t xml:space="preserve">Attività Progettuale</w:t>
      </w:r>
      <w:r>
        <w:rPr>
          <w:b w:val="false"/>
          <w:bCs w:val="false"/>
        </w:rPr>
        <w:t xml:space="preserve"> attiva </w:t>
      </w:r>
      <w:r>
        <w:rPr>
          <w:b/>
          <w:bCs/>
        </w:rPr>
        <w:t xml:space="preserve">Abilita modifica</w:t>
      </w:r>
      <w:r>
        <w:rPr>
          <w:b w:val="false"/>
          <w:bCs w:val="false"/>
        </w:rPr>
        <w:t xml:space="preserve"> e premi </w:t>
      </w:r>
      <w:r>
        <w:rPr>
          <w:b/>
          <w:bCs/>
        </w:rPr>
        <w:t xml:space="preserve">Modifica</w:t>
      </w:r>
      <w:r>
        <w:rPr>
          <w:b w:val="false"/>
          <w:bCs w:val="false"/>
        </w:rPr>
        <w:t xml:space="preserve">: si apre la pagina del Gantt con le attività del progetto nel tempo. Al rientro torni esattamente al progetto da cui sei partito.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menu a sinistra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menu a sinistra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Poi si ricalcolano le ore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scegli prima il tipo di file: Voucher (le ore sulle commesse, come sopra) oppure MySupport. Con MySupport carichi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menu a sinistra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menu a sinistra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spacing w:after="140" w:before="280"/>
      </w:pPr>
      <w:r>
        <w:rPr>
          <w:color w:val="059669"/>
        </w:rPr>
        <w:t xml:space="preserve">16.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