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Checklist Retention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Politica e checklist di conservazione dei dati (art. 5.1.e GDPR)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17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Tabella di conservazione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410"/>
        <w:gridCol w:w="2891"/>
        <w:gridCol w:w="1735"/>
      </w:tblGrid>
      <w:tr>
        <w:trPr>
          <w:tblHeader/>
        </w:trPr>
        <w:tc>
          <w:tcPr>
            <w:tcW w:type="dxa" w:w="260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Categoria</w:t>
            </w:r>
          </w:p>
        </w:tc>
        <w:tc>
          <w:tcPr>
            <w:tcW w:type="dxa" w:w="241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289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Come avviene</w:t>
            </w:r>
          </w:p>
        </w:tc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 utente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Durata del rapporto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su richiesta (email)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Manuale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Sessioni revocate e magic link usati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Fino alla scadenza del token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di accesso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mesi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Lavoro notturno sul database di audit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delle variazioni (prima/dopo)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mesi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Lavoro notturno sul database di audit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delle email inviate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mesi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Lavoro notturno sul database di audit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delle riunioni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Fino alla trascrizione (residui: poche ore)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Trascrizioni e recap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[Durata del progetto / N mesi]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 definire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 completare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 di clienti, progetti, contatti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Durata del rapporto con l'azienda cliente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a fine contratto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 formalizzare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giorni (giornalieri), 12 mesi (mensili)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Rotazione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Copia di staging (Neon)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Sovrascritta ogni notte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Copia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 valutare (vedi Gap Analysis)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Risultati AI in Batch e file temporanei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giorni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Pulizia automatica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  <w:tr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Cookie e archiviazione locale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Sessione: max 24 h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Scadenza del cookie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Checklist operativa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Definire la conservazione di trascrizioni e recap e pubblicarla nell'informativa.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Definire la cancellazione a fine contratto per le aziende clienti (e la relativa conferma scritta).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Gestire gli account inattivi (avviso e cancellazione dopo [N] mesi).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Ricordare che i dati cancellati restano nei backup fino alla loro rotazione (massimo 12 mesi) e indicarlo nell'informativa.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Allineare RoPA e informativa a questa tabella.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Rivedere la politica almeno una volta l'anno.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Checklist Retention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Retention</dc:title>
  <dc:creator>Projexa</dc:creator>
  <cp:lastModifiedBy>Un-named</cp:lastModifiedBy>
  <cp:revision>1</cp:revision>
  <dcterms:created xsi:type="dcterms:W3CDTF">2026-10-17T10:07:09.082Z</dcterms:created>
  <dcterms:modified xsi:type="dcterms:W3CDTF">2026-10-17T10:07:09.082Z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