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Calibri" w:cs="Calibri" w:eastAsia="Calibri" w:hAnsi="Calibri"/>
          <w:b/>
          <w:bCs/>
          <w:color w:val="312E81"/>
          <w:sz w:val="44"/>
          <w:szCs w:val="44"/>
        </w:rPr>
        <w:t xml:space="preserve">PROJEXA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Registro dei trattamenti (RoPA)</w:t>
      </w:r>
    </w:p>
    <w:p>
      <w:pPr>
        <w:pBdr>
          <w:bottom w:val="single" w:color="312E81" w:sz="12" w:space="8"/>
        </w:pBdr>
        <w:spacing w:after="600"/>
      </w:pPr>
      <w:r>
        <w:rPr>
          <w:rFonts w:ascii="Calibri" w:cs="Calibri" w:eastAsia="Calibri" w:hAnsi="Calibri"/>
          <w:color w:val="6B7280"/>
          <w:sz w:val="24"/>
          <w:szCs w:val="24"/>
        </w:rPr>
        <w:t xml:space="preserve">Registro delle attività di trattamento ai sensi dell'art. 30 GDPR</w:t>
      </w:r>
    </w:p>
    <w:p>
      <w:pPr>
        <w:spacing w:after="80"/>
      </w:pPr>
      <w:r>
        <w:rPr>
          <w:rFonts w:ascii="Calibri" w:cs="Calibri" w:eastAsia="Calibri" w:hAnsi="Calibri"/>
          <w:color w:val="6B7280"/>
          <w:sz w:val="21"/>
          <w:szCs w:val="21"/>
        </w:rPr>
        <w:t xml:space="preserve">Versione del 17 ottobre 2026</w:t>
      </w:r>
    </w:p>
    <w:p>
      <w:r>
        <w:br w:type="page"/>
      </w:r>
    </w:p>
    <w:p>
      <w:pPr>
        <w:pBdr>
          <w:left w:val="single" w:color="F59E0B" w:sz="18" w:space="6"/>
        </w:pBdr>
        <w:shd w:fill="FFFBEB" w:color="auto" w:val="clear"/>
        <w:spacing w:after="160" w:before="120" w:line="264"/>
      </w:pPr>
      <w:r>
        <w:rPr>
          <w:rFonts w:ascii="Calibri" w:cs="Calibri" w:eastAsia="Calibri" w:hAnsi="Calibri"/>
          <w:b/>
          <w:bCs/>
          <w:color w:val="92400E"/>
          <w:sz w:val="21"/>
          <w:szCs w:val="21"/>
        </w:rPr>
        <w:t xml:space="preserve">Avvertenza: </w:t>
      </w:r>
      <w:r>
        <w:rPr>
          <w:rFonts w:ascii="Calibri" w:cs="Calibri" w:eastAsia="Calibri" w:hAnsi="Calibri"/>
          <w:color w:val="92400E"/>
          <w:sz w:val="21"/>
          <w:szCs w:val="21"/>
        </w:rPr>
        <w:t xml:space="preserve">documento predisposto come supporto operativo, non costituisce parere legale: la versione definitiva va validata dal DPO o da un consulente legale. I campi tra parentesi quadre vanno compilati con i dati reali del titolare. Aggiornato allo stato tecnico della piattaforma al 17 ottobre 2026 (vedi «Projexa – Architettura e sicurezza»).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Titolare del trattamento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Titolare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[RAGIONE SOCIALE] — [INDIRIZZO] — P.IVA [P.IVA]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Contatti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team.italia.projexa@gmail.com · [TELEFONO]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DPO (se nominato)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[NOME / EMAIL DPO]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Ruolo rispetto ai clienti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Per i dati che le aziende clienti inseriscono (loro clienti, contatti, progetti) Projexa agisce come responsabile del trattamento (art. 28) per conto dell'azienda cliente, titolare.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Attività di trattamento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312E81"/>
          <w:sz w:val="24"/>
          <w:szCs w:val="24"/>
        </w:rPr>
        <w:t xml:space="preserve">1. Gestione utenti e autenticazione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Creazione e gestione degli account, accesso, sicurezza.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Esecuzione del contratto (6.1.b); sicurezza: legittimo interesse (6.1.f).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Interessati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Utenti della piattaforma.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Nome, cognome, email, impronta della password (bcrypt), ruolo, azienda, sessioni revocate, log di accesso (IP, data e ora, esito).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Destinatari / responsabili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Oracle Cloud (hosting, Italia); Google e Microsoft (se si usa l'accesso con il loro account); Neon (staging).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Trasferimenti extra-UE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Nessuno per l'hosting; Google/Microsoft secondo le loro garanzie (SCC / Data Privacy Framework); Neon: [da verificare].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Durata del rapporto; log di accesso 12 mesi; backup 30 giorni (giornalieri) e 12 mesi (mensili).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Misure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HTTPS/TLS e HSTS; password bcrypt; sessione in cookie HttpOnly/Secure/SameSite=Strict con scadenza per inattività (2 h) e massima (24 h), revoca al logout; limiti ai tentativi di accesso per IP e per account; isolamento per azienda e per utente; ruoli; cifratura AES-256-GCM di token e campi sensibili; Content-Security-Policy; log di audit separato (accessi, variazioni prima/dopo); backup notturni cifrati in Italia.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312E81"/>
          <w:sz w:val="24"/>
          <w:szCs w:val="24"/>
        </w:rPr>
        <w:t xml:space="preserve">2. Erogazione del servizio (clienti, progetti, attività, costi, riunioni)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Gestione di clienti, contatti, progetti, pianificazione, costi, KPI, registri del Project Manager.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Esecuzione del contratto (6.1.b) con l'azienda cliente, per cui Projexa tratta i dati come responsabile.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Interessati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Referenti dei clienti, componenti dei team di progetto, utenti.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Ragioni sociali, nominativi, email, telefono, ruoli, note, ticket di assistenza (MySupport), dati economici di progetto.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Destinatari / responsabili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Oracle Cloud; Neon (staging); Atlassian (se Jira è collegato).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Trasferimenti extra-UE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Hosting in Italia; Neon e Atlassian: [da verificare].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Durata del rapporto con l'azienda cliente; poi cancellazione su richiesta. Storico delle variazioni 24 mesi.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Misure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HTTPS/TLS e HSTS; password bcrypt; sessione in cookie HttpOnly/Secure/SameSite=Strict con scadenza per inattività (2 h) e massima (24 h), revoca al logout; limiti ai tentativi di accesso per IP e per account; isolamento per azienda e per utente; ruoli; cifratura AES-256-GCM di token e campi sensibili; Content-Security-Policy; log di audit separato (accessi, variazioni prima/dopo); backup notturni cifrati in Italia.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312E81"/>
          <w:sz w:val="24"/>
          <w:szCs w:val="24"/>
        </w:rPr>
        <w:t xml:space="preserve">3. Sicurezza e registri (log di audit)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Sicurezza, tracciabilità delle modifiche, indagine su abusi.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Legittimo interesse (6.1.f); obblighi di legge ove applicabili (6.1.c).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Log di accesso (utente, IP, esito), variazioni ai dati con valori prima/dopo (password e token mascherati), email inviate (tipo, esito, destinatario, mai il testo).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Destinatari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Oracle Autonomous Database (separato dall'applicazione).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Accessi ed email 12 mesi, variazioni 24 mesi: cancellazione automatica notturna.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Misure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Database separato; l'applicazione può solo aggiungere e leggere; accesso alla consultazione riservato all'amministratore; ogni eliminazione manuale è registrata.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312E81"/>
          <w:sz w:val="24"/>
          <w:szCs w:val="24"/>
        </w:rPr>
        <w:t xml:space="preserve">4. Integrazioni calendario e email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Lettura degli eventi di calendario per le riunioni; invio di email di servizio.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Esecuzione del contratto / consenso al collegamento (6.1.a-b).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Eventi, partecipanti, link alle riunioni; email di servizio (conferma, reset, magic link).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Destinatari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Google, Microsoft.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Trasferimenti extra-UE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Secondo le garanzie di Google e Microsoft (SCC / Data Privacy Framework).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Gli eventi sono letti al momento; i token di collegamento finché l'utente non scollega.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Misure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OAuth 2.0 con autorizzazione dell'utente, token cifrati AES-256-GCM, revoca in qualsiasi momento.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312E81"/>
          <w:sz w:val="24"/>
          <w:szCs w:val="24"/>
        </w:rPr>
        <w:t xml:space="preserve">5. Registrazione, trascrizione delle riunioni e AI (richiede DPIA)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Trascrizione delle riunioni, recap, azioni e documenti di progetto.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Consenso/informativa ai partecipanti prima della registrazione (6.1.a) — vedi DPIA.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Interessati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Partecipanti alle riunioni, anche esterni.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 (temporaneo), trascrizione, recap, nominativi dei partecipanti.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Destinatari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Trascrizione: sul server Projexa (nessun fornitore). AI per recap/documenti: modello locale sul server, oppure il fornitore scelto dall'utente (OpenAI, Anthropic, Google, Mistral) con la propria chiave.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Trasferimenti extra-UE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Solo se l'utente sceglie un fornitore di AI extra-UE: secondo le sue garanzie (SCC / DPF).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 cancellato subito dopo la trascrizione (residui entro poche ore); trascrizioni e recap per la durata del progetto o fino a cancellazione.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Misure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Trascrizione locale, cifratura dei recap, minimizzazione verso l'AI (es. Dossier senza anagrafica), revisione umana, accesso per utente.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312E81"/>
          <w:sz w:val="24"/>
          <w:szCs w:val="24"/>
        </w:rPr>
        <w:t xml:space="preserve">6. Import dei ticket di assistenza (MySupport)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Monitoraggio dei ticket di assistenza dei clienti seguiti.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Esecuzione del contratto / legittimo interesse dell'azienda cliente.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Codice ticket, cliente, procedura, stato, date, operatore.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Destinatari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Oracle Cloud.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Durata del rapporto.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Misure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Invio dal sistema aziendale con token dedicato per utente (solo impronta SHA-256 salvata), nessun file conservato sul server.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Aggiornamento.</w:t>
      </w:r>
      <w:r>
        <w:rPr>
          <w:rFonts w:ascii="Calibri" w:cs="Calibri" w:eastAsia="Calibri" w:hAnsi="Calibri"/>
          <w:sz w:val="21"/>
          <w:szCs w:val="21"/>
        </w:rPr>
        <w:t xml:space="preserve"> Il registro va rivisto a ogni nuovo trattamento, nuovo fornitore o nuova finalità, e almeno una volta l'anno.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Projexa · Registro dei trattamenti · pag.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312E81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312E8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dei trattamenti</dc:title>
  <dc:creator>Projexa</dc:creator>
  <cp:lastModifiedBy>Un-named</cp:lastModifiedBy>
  <cp:revision>1</cp:revision>
  <dcterms:created xsi:type="dcterms:W3CDTF">2026-10-17T10:07:09.030Z</dcterms:created>
  <dcterms:modified xsi:type="dcterms:W3CDTF">2026-10-17T10:07:09.030Z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