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312E81"/>
          <w:sz w:val="30"/>
          <w:szCs w:val="30"/>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spacing w:after="120" w:before="1800"/>
      </w:pPr>
      <w:r>
        <w:rPr>
          <w:rFonts w:ascii="Calibri" w:cs="Calibri" w:eastAsia="Calibri" w:hAnsi="Calibri"/>
          <w:b/>
          <w:bCs/>
          <w:color w:val="312E81"/>
          <w:sz w:val="44"/>
          <w:szCs w:val="44"/>
        </w:rPr>
        <w:t xml:space="preserve">PROJEXA</w:t>
      </w:r>
    </w:p>
    <w:p>
      <w:pPr>
        <w:spacing w:after="160"/>
      </w:pPr>
      <w:r>
        <w:rPr>
          <w:rFonts w:ascii="Calibri" w:cs="Calibri" w:eastAsia="Calibri" w:hAnsi="Calibri"/>
          <w:b/>
          <w:bCs/>
          <w:sz w:val="36"/>
          <w:szCs w:val="36"/>
        </w:rPr>
        <w:t xml:space="preserve">Architettura e sicurezza</w:t>
      </w:r>
    </w:p>
    <w:p>
      <w:pPr>
        <w:pBdr>
          <w:bottom w:val="single" w:color="312E81" w:sz="12" w:space="8"/>
        </w:pBdr>
        <w:spacing w:after="600"/>
      </w:pPr>
      <w:r>
        <w:rPr>
          <w:rFonts w:ascii="Calibri" w:cs="Calibri" w:eastAsia="Calibri" w:hAnsi="Calibri"/>
          <w:color w:val="6B7280"/>
          <w:sz w:val="24"/>
          <w:szCs w:val="24"/>
        </w:rPr>
        <w:t xml:space="preserve">Come è fatta la piattaforma, dove stanno i dati e come sono protetti</w:t>
      </w:r>
    </w:p>
    <w:p>
      <w:pPr>
        <w:spacing w:after="80"/>
      </w:pPr>
      <w:r>
        <w:rPr>
          <w:rFonts w:ascii="Calibri" w:cs="Calibri" w:eastAsia="Calibri" w:hAnsi="Calibri"/>
          <w:color w:val="6B7280"/>
          <w:sz w:val="21"/>
          <w:szCs w:val="21"/>
        </w:rPr>
        <w:t xml:space="preserve">Versione del 17 ottobre 2026</w:t>
      </w:r>
    </w:p>
    <w:p>
      <w:r>
        <w:br w:type="page"/>
      </w:r>
    </w:p>
    <w:p>
      <w:pPr>
        <w:pStyle w:val="Heading1"/>
        <w:spacing w:after="160" w:before="360"/>
      </w:pPr>
      <w:r>
        <w:rPr>
          <w:rFonts w:ascii="Calibri" w:cs="Calibri" w:eastAsia="Calibri" w:hAnsi="Calibri"/>
          <w:b/>
          <w:bCs/>
          <w:color w:val="312E81"/>
          <w:sz w:val="30"/>
          <w:szCs w:val="30"/>
        </w:rPr>
        <w:t xml:space="preserve">1. Scopo del documento</w:t>
      </w:r>
    </w:p>
    <w:p>
      <w:pPr>
        <w:spacing w:after="120" w:line="276"/>
      </w:pPr>
      <w:r>
        <w:rPr>
          <w:rFonts w:ascii="Calibri" w:cs="Calibri" w:eastAsia="Calibri" w:hAnsi="Calibri"/>
          <w:sz w:val="21"/>
          <w:szCs w:val="21"/>
        </w:rPr>
        <w:t xml:space="preserve">Questo documento descrive in modo completo e verificabile come è costruita Projexa: l'applicazione web, i database, l'infrastruttura, la protezione dei dati, i backup, la tracciabilità, l'uso dell'intelligenza artificiale e i fornitori coinvolti.</w:t>
      </w:r>
    </w:p>
    <w:p>
      <w:pPr>
        <w:spacing w:after="120" w:line="276"/>
      </w:pPr>
      <w:r>
        <w:rPr>
          <w:rFonts w:ascii="Calibri" w:cs="Calibri" w:eastAsia="Calibri" w:hAnsi="Calibri"/>
          <w:sz w:val="21"/>
          <w:szCs w:val="21"/>
        </w:rPr>
        <w:t xml:space="preserve">È pensato per chi deve valutare la piattaforma senza leggerne il codice: un consulente legale o il DPO (conformità GDPR), un potenziale investitore o acquirente (due diligence tecnica), un cliente che chiede garanzie sul trattamento dei propri dati.</w:t>
      </w:r>
    </w:p>
    <w:p>
      <w:pPr>
        <w:spacing w:after="120" w:line="276"/>
      </w:pPr>
      <w:r>
        <w:rPr>
          <w:rFonts w:ascii="Calibri" w:cs="Calibri" w:eastAsia="Calibri" w:hAnsi="Calibri"/>
          <w:sz w:val="21"/>
          <w:szCs w:val="21"/>
        </w:rPr>
        <w:t xml:space="preserve">Ogni affermazione corrisponde a quanto implementato nel codice e nella configurazione di produzione alla data del documento. I punti non ancora completati sono elencati apertamente nel capitolo 16.</w:t>
      </w:r>
    </w:p>
    <w:p>
      <w:pPr>
        <w:pStyle w:val="Heading1"/>
        <w:spacing w:after="160" w:before="360"/>
      </w:pPr>
      <w:r>
        <w:rPr>
          <w:rFonts w:ascii="Calibri" w:cs="Calibri" w:eastAsia="Calibri" w:hAnsi="Calibri"/>
          <w:b/>
          <w:bCs/>
          <w:color w:val="312E81"/>
          <w:sz w:val="30"/>
          <w:szCs w:val="30"/>
        </w:rPr>
        <w:t xml:space="preserve">2. Che cos'è Projexa</w:t>
      </w:r>
    </w:p>
    <w:p>
      <w:pPr>
        <w:spacing w:after="120" w:line="276"/>
      </w:pPr>
      <w:r>
        <w:rPr>
          <w:rFonts w:ascii="Calibri" w:cs="Calibri" w:eastAsia="Calibri" w:hAnsi="Calibri"/>
          <w:sz w:val="21"/>
          <w:szCs w:val="21"/>
        </w:rPr>
        <w:t xml:space="preserve">Projexa è una piattaforma web multi-azienda (multi-tenant) per i Project Manager che seguono progetti di implementazione software presso i clienti. Riunisce in un unico ambiente:</w:t>
      </w:r>
    </w:p>
    <w:p>
      <w:pPr>
        <w:pStyle w:val="ListParagraph"/>
        <w:numPr>
          <w:ilvl w:val="0"/>
          <w:numId w:val="2"/>
        </w:numPr>
        <w:spacing w:after="80" w:line="264"/>
      </w:pPr>
      <w:r>
        <w:rPr>
          <w:rFonts w:ascii="Calibri" w:cs="Calibri" w:eastAsia="Calibri" w:hAnsi="Calibri"/>
          <w:sz w:val="21"/>
          <w:szCs w:val="21"/>
        </w:rPr>
        <w:t xml:space="preserve">anagrafiche di clienti, progetti, commesse, contatti e licenze;</w:t>
      </w:r>
    </w:p>
    <w:p>
      <w:pPr>
        <w:pStyle w:val="ListParagraph"/>
        <w:numPr>
          <w:ilvl w:val="0"/>
          <w:numId w:val="2"/>
        </w:numPr>
        <w:spacing w:after="80" w:line="264"/>
      </w:pPr>
      <w:r>
        <w:rPr>
          <w:rFonts w:ascii="Calibri" w:cs="Calibri" w:eastAsia="Calibri" w:hAnsi="Calibri"/>
          <w:sz w:val="21"/>
          <w:szCs w:val="21"/>
        </w:rPr>
        <w:t xml:space="preserve">pianificazione (Gantt), costi ed effort per voce di costo, fatturazione e indicatori (KPI);</w:t>
      </w:r>
    </w:p>
    <w:p>
      <w:pPr>
        <w:pStyle w:val="ListParagraph"/>
        <w:numPr>
          <w:ilvl w:val="0"/>
          <w:numId w:val="2"/>
        </w:numPr>
        <w:spacing w:after="80" w:line="264"/>
      </w:pPr>
      <w:r>
        <w:rPr>
          <w:rFonts w:ascii="Calibri" w:cs="Calibri" w:eastAsia="Calibri" w:hAnsi="Calibri"/>
          <w:sz w:val="21"/>
          <w:szCs w:val="21"/>
        </w:rPr>
        <w:t xml:space="preserve">registro rischi, decisioni, issue, Change Request e azioni a carico del cliente (Cruscotto PM);</w:t>
      </w:r>
    </w:p>
    <w:p>
      <w:pPr>
        <w:pStyle w:val="ListParagraph"/>
        <w:numPr>
          <w:ilvl w:val="0"/>
          <w:numId w:val="2"/>
        </w:numPr>
        <w:spacing w:after="80" w:line="264"/>
      </w:pPr>
      <w:r>
        <w:rPr>
          <w:rFonts w:ascii="Calibri" w:cs="Calibri" w:eastAsia="Calibri" w:hAnsi="Calibri"/>
          <w:sz w:val="21"/>
          <w:szCs w:val="21"/>
        </w:rPr>
        <w:t xml:space="preserve">registrazione e trascrizione delle riunioni, con recap e documenti generati con l'intelligenza artificiale (recap, Kick-off, offerta economica, Dossier Cliente);</w:t>
      </w:r>
    </w:p>
    <w:p>
      <w:pPr>
        <w:pStyle w:val="ListParagraph"/>
        <w:numPr>
          <w:ilvl w:val="0"/>
          <w:numId w:val="2"/>
        </w:numPr>
        <w:spacing w:after="80" w:line="264"/>
      </w:pPr>
      <w:r>
        <w:rPr>
          <w:rFonts w:ascii="Calibri" w:cs="Calibri" w:eastAsia="Calibri" w:hAnsi="Calibri"/>
          <w:sz w:val="21"/>
          <w:szCs w:val="21"/>
        </w:rPr>
        <w:t xml:space="preserve">integrazioni con calendari (Google, Microsoft), Jira e sistemi di ticketing (MySupport).</w:t>
      </w:r>
    </w:p>
    <w:p>
      <w:pPr>
        <w:pStyle w:val="Heading1"/>
        <w:spacing w:after="160" w:before="360"/>
      </w:pPr>
      <w:r>
        <w:rPr>
          <w:rFonts w:ascii="Calibri" w:cs="Calibri" w:eastAsia="Calibri" w:hAnsi="Calibri"/>
          <w:b/>
          <w:bCs/>
          <w:color w:val="312E81"/>
          <w:sz w:val="30"/>
          <w:szCs w:val="30"/>
        </w:rPr>
        <w:t xml:space="preserve">3. Architettura in sintesi</w:t>
      </w:r>
    </w:p>
    <w:p>
      <w:pPr>
        <w:spacing w:after="120" w:line="276"/>
      </w:pPr>
      <w:r>
        <w:rPr>
          <w:rFonts w:ascii="Calibri" w:cs="Calibri" w:eastAsia="Calibri" w:hAnsi="Calibri"/>
          <w:sz w:val="21"/>
          <w:szCs w:val="21"/>
        </w:rPr>
        <w:t xml:space="preserve">Projexa è un'applicazione web classica a tre livelli, interamente ospitata su un unico server dedicato in un data center Oracle Cloud in Italia (Milano).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tblHeader/>
        </w:trPr>
        <w:tc>
          <w:tcPr>
            <w:tcW w:type="dxa" w:w="2120"/>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Livello</w:t>
            </w:r>
          </w:p>
        </w:tc>
        <w:tc>
          <w:tcPr>
            <w:tcW w:type="dxa" w:w="4626"/>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Tecnologia</w:t>
            </w:r>
          </w:p>
        </w:tc>
        <w:tc>
          <w:tcPr>
            <w:tcW w:type="dxa" w:w="2892"/>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Dove gira</w:t>
            </w:r>
          </w:p>
        </w:tc>
      </w:tr>
      <w:tr>
        <w:tc>
          <w:tcPr>
            <w:tcW w:type="dxa" w:w="212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Browser dell'utente</w:t>
            </w:r>
          </w:p>
        </w:tc>
        <w:tc>
          <w:tcPr>
            <w:tcW w:type="dxa" w:w="462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Pagine HTML e JavaScript (nessun plug-in, nessuna installazione)</w:t>
            </w:r>
          </w:p>
        </w:tc>
        <w:tc>
          <w:tcPr>
            <w:tcW w:type="dxa" w:w="289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PC dell'utente</w:t>
            </w:r>
          </w:p>
        </w:tc>
      </w:tr>
      <w:tr>
        <w:tc>
          <w:tcPr>
            <w:tcW w:type="dxa" w:w="212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Accesso da internet</w:t>
            </w:r>
          </w:p>
        </w:tc>
        <w:tc>
          <w:tcPr>
            <w:tcW w:type="dxa" w:w="462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Caddy: reverse proxy con HTTPS automatico (certificati Let's Encrypt)</w:t>
            </w:r>
          </w:p>
        </w:tc>
        <w:tc>
          <w:tcPr>
            <w:tcW w:type="dxa" w:w="289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Server Oracle Cloud, Milano</w:t>
            </w:r>
          </w:p>
        </w:tc>
      </w:tr>
      <w:tr>
        <w:tc>
          <w:tcPr>
            <w:tcW w:type="dxa" w:w="212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Applicazione</w:t>
            </w:r>
          </w:p>
        </w:tc>
        <w:tc>
          <w:tcPr>
            <w:tcW w:type="dxa" w:w="462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Node.js + Express, gestito da PM2 (riavvio automatico)</w:t>
            </w:r>
          </w:p>
        </w:tc>
        <w:tc>
          <w:tcPr>
            <w:tcW w:type="dxa" w:w="289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Server Oracle Cloud, Milano</w:t>
            </w:r>
          </w:p>
        </w:tc>
      </w:tr>
      <w:tr>
        <w:tc>
          <w:tcPr>
            <w:tcW w:type="dxa" w:w="212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Database</w:t>
            </w:r>
          </w:p>
        </w:tc>
        <w:tc>
          <w:tcPr>
            <w:tcW w:type="dxa" w:w="462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PostgreSQL 18: 4 database separati</w:t>
            </w:r>
          </w:p>
        </w:tc>
        <w:tc>
          <w:tcPr>
            <w:tcW w:type="dxa" w:w="289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Stesso server, raggiungibile solo dall'interno</w:t>
            </w:r>
          </w:p>
        </w:tc>
      </w:tr>
      <w:tr>
        <w:tc>
          <w:tcPr>
            <w:tcW w:type="dxa" w:w="212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Servizi interni</w:t>
            </w:r>
          </w:p>
        </w:tc>
        <w:tc>
          <w:tcPr>
            <w:tcW w:type="dxa" w:w="462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Trascrizione audio (Whisper), AI locale per i recap (Ollama)</w:t>
            </w:r>
          </w:p>
        </w:tc>
        <w:tc>
          <w:tcPr>
            <w:tcW w:type="dxa" w:w="289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Stesso server, solo dall'interno</w:t>
            </w:r>
          </w:p>
        </w:tc>
      </w:tr>
      <w:tr>
        <w:tc>
          <w:tcPr>
            <w:tcW w:type="dxa" w:w="212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Log di audit</w:t>
            </w:r>
          </w:p>
        </w:tc>
        <w:tc>
          <w:tcPr>
            <w:tcW w:type="dxa" w:w="462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Oracle Autonomous Database (separato dall'applicazione)</w:t>
            </w:r>
          </w:p>
        </w:tc>
        <w:tc>
          <w:tcPr>
            <w:tcW w:type="dxa" w:w="289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Oracle Cloud</w:t>
            </w:r>
          </w:p>
        </w:tc>
      </w:tr>
      <w:tr>
        <w:tc>
          <w:tcPr>
            <w:tcW w:type="dxa" w:w="212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Backup</w:t>
            </w:r>
          </w:p>
        </w:tc>
        <w:tc>
          <w:tcPr>
            <w:tcW w:type="dxa" w:w="462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Oracle Object Storage</w:t>
            </w:r>
          </w:p>
        </w:tc>
        <w:tc>
          <w:tcPr>
            <w:tcW w:type="dxa" w:w="289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Oracle Cloud, Milano</w:t>
            </w:r>
          </w:p>
        </w:tc>
      </w:tr>
    </w:tbl>
    <w:p>
      <w:pPr>
        <w:spacing w:after="80"/>
      </w:pPr>
    </w:p>
    <w:p>
      <w:pPr>
        <w:spacing w:after="120" w:line="276"/>
      </w:pPr>
      <w:r>
        <w:rPr>
          <w:rFonts w:ascii="Calibri" w:cs="Calibri" w:eastAsia="Calibri" w:hAnsi="Calibri"/>
          <w:b/>
          <w:bCs/>
          <w:sz w:val="21"/>
          <w:szCs w:val="21"/>
        </w:rPr>
        <w:t xml:space="preserve">Flusso di una richiesta.</w:t>
      </w:r>
      <w:r>
        <w:rPr>
          <w:rFonts w:ascii="Calibri" w:cs="Calibri" w:eastAsia="Calibri" w:hAnsi="Calibri"/>
          <w:sz w:val="21"/>
          <w:szCs w:val="21"/>
        </w:rPr>
        <w:t xml:space="preserve"> Il browser si collega a https://www.projexa.it; Caddy termina la connessione cifrata e la passa all'applicazione su un indirizzo interno (127.0.0.1); l'applicazione verifica la sessione, applica i permessi e interroga il database locale. Il database, i servizi di trascrizione e di AI locale non sono esposti su internet.</w:t>
      </w:r>
    </w:p>
    <w:p>
      <w:pPr>
        <w:pStyle w:val="Heading1"/>
        <w:spacing w:after="160" w:before="360"/>
      </w:pPr>
      <w:r>
        <w:rPr>
          <w:rFonts w:ascii="Calibri" w:cs="Calibri" w:eastAsia="Calibri" w:hAnsi="Calibri"/>
          <w:b/>
          <w:bCs/>
          <w:color w:val="312E81"/>
          <w:sz w:val="30"/>
          <w:szCs w:val="30"/>
        </w:rPr>
        <w:t xml:space="preserve">4. Infrastruttura e hosting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Elemento</w:t>
            </w:r>
          </w:p>
        </w:tc>
        <w:tc>
          <w:tcPr>
            <w:tcW w:type="dxa" w:w="6939"/>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Configurazione</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Fornitore</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Oracle Cloud Infrastructure (OCI)</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Regione</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eu-milan-1 (Milano, Italia): dati applicativi e backup restano in Italia</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Server</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Macchina virtuale dedicata ARM (Ampere A1), Oracle Linux 9, 4 vCPU, 24 GB di RAM, disco 100 GB</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Indirizzo e dominio</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IP pubblico riservato; dominio projexa.it registrato presso OVHcloud (solo DNS)</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Porte aperte su internet</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Solo HTTPS (443) e HTTP (80, che reindirizza a HTTPS) e SSH per l'amministrazione con chiave</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Accesso amministrativo</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SSH solo con chiave crittografica (niente password)</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Pubblicazione del software</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GitHub Actions: a ogni rilascio approvato il codice viene copiato sul server e il servizio ricaricato senza interruzione</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Monitoraggio</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Pagina «Monitor» riservata all'amministratore: CPU, memoria, disco, servizi, spazio dei backup, schedulazioni</w:t>
            </w:r>
          </w:p>
        </w:tc>
      </w:tr>
    </w:tbl>
    <w:p>
      <w:pPr>
        <w:pStyle w:val="Heading1"/>
        <w:spacing w:after="160" w:before="360"/>
      </w:pPr>
      <w:r>
        <w:rPr>
          <w:rFonts w:ascii="Calibri" w:cs="Calibri" w:eastAsia="Calibri" w:hAnsi="Calibri"/>
          <w:b/>
          <w:bCs/>
          <w:color w:val="312E81"/>
          <w:sz w:val="30"/>
          <w:szCs w:val="30"/>
        </w:rPr>
        <w:t xml:space="preserve">5. L'applicazione web</w:t>
      </w:r>
    </w:p>
    <w:p>
      <w:pPr>
        <w:pStyle w:val="Heading2"/>
        <w:spacing w:after="120" w:before="240"/>
      </w:pPr>
      <w:r>
        <w:rPr>
          <w:rFonts w:ascii="Calibri" w:cs="Calibri" w:eastAsia="Calibri" w:hAnsi="Calibri"/>
          <w:b/>
          <w:bCs/>
          <w:color w:val="312E81"/>
          <w:sz w:val="24"/>
          <w:szCs w:val="24"/>
        </w:rPr>
        <w:t xml:space="preserve">5.1 Frontend</w:t>
      </w:r>
    </w:p>
    <w:p>
      <w:pPr>
        <w:spacing w:after="120" w:line="276"/>
      </w:pPr>
      <w:r>
        <w:rPr>
          <w:rFonts w:ascii="Calibri" w:cs="Calibri" w:eastAsia="Calibri" w:hAnsi="Calibri"/>
          <w:sz w:val="21"/>
          <w:szCs w:val="21"/>
        </w:rPr>
        <w:t xml:space="preserve">Le pagine sono file HTML e JavaScript serviti dal server stesso. Non contengono segreti: tutte le chiavi e le credenziali restano sul server. Le librerie esterne (icone, lettura Excel) arrivano solo da un CDN autorizzato (cdnjs) e sono elencate nella politica di sicurezza dei contenuti (capitolo 10).</w:t>
      </w:r>
    </w:p>
    <w:p>
      <w:pPr>
        <w:pStyle w:val="Heading2"/>
        <w:spacing w:after="120" w:before="240"/>
      </w:pPr>
      <w:r>
        <w:rPr>
          <w:rFonts w:ascii="Calibri" w:cs="Calibri" w:eastAsia="Calibri" w:hAnsi="Calibri"/>
          <w:b/>
          <w:bCs/>
          <w:color w:val="312E81"/>
          <w:sz w:val="24"/>
          <w:szCs w:val="24"/>
        </w:rPr>
        <w:t xml:space="preserve">5.2 Backend</w:t>
      </w:r>
    </w:p>
    <w:p>
      <w:pPr>
        <w:spacing w:after="120" w:line="276"/>
      </w:pPr>
      <w:r>
        <w:rPr>
          <w:rFonts w:ascii="Calibri" w:cs="Calibri" w:eastAsia="Calibri" w:hAnsi="Calibri"/>
          <w:sz w:val="21"/>
          <w:szCs w:val="21"/>
        </w:rPr>
        <w:t xml:space="preserve">Il backend è un'applicazione Node.js/Express che espone le API sotto /api. Ogni API, tranne quelle di accesso (login, registrazione, recupero password, callback OAuth), richiede una sessione valida. Le query al database sono sempre parametrizzate: i valori inviati dall'utente non diventano mai parte del codice SQL.</w:t>
      </w:r>
    </w:p>
    <w:p>
      <w:pPr>
        <w:pStyle w:val="Heading2"/>
        <w:spacing w:after="120" w:before="240"/>
      </w:pPr>
      <w:r>
        <w:rPr>
          <w:rFonts w:ascii="Calibri" w:cs="Calibri" w:eastAsia="Calibri" w:hAnsi="Calibri"/>
          <w:b/>
          <w:bCs/>
          <w:color w:val="312E81"/>
          <w:sz w:val="24"/>
          <w:szCs w:val="24"/>
        </w:rPr>
        <w:t xml:space="preserve">5.3 Attività pianificate</w:t>
      </w:r>
    </w:p>
    <w:p>
      <w:pPr>
        <w:spacing w:after="120" w:line="276"/>
      </w:pPr>
      <w:r>
        <w:rPr>
          <w:rFonts w:ascii="Calibri" w:cs="Calibri" w:eastAsia="Calibri" w:hAnsi="Calibri"/>
          <w:sz w:val="21"/>
          <w:szCs w:val="21"/>
        </w:rPr>
        <w:t xml:space="preserve">Uno schedulatore interno esegue i lavori periodici (backup, notifiche, sincronizzazioni Jira, pulizie). Ogni esecuzione registra esito, durata ed eventuali errori, consultabili dall'amministratore.</w:t>
      </w:r>
    </w:p>
    <w:p>
      <w:pPr>
        <w:pStyle w:val="Heading1"/>
        <w:spacing w:after="160" w:before="360"/>
      </w:pPr>
      <w:r>
        <w:rPr>
          <w:rFonts w:ascii="Calibri" w:cs="Calibri" w:eastAsia="Calibri" w:hAnsi="Calibri"/>
          <w:b/>
          <w:bCs/>
          <w:color w:val="312E81"/>
          <w:sz w:val="30"/>
          <w:szCs w:val="30"/>
        </w:rPr>
        <w:t xml:space="preserve">6. I database</w:t>
      </w:r>
    </w:p>
    <w:p>
      <w:pPr>
        <w:spacing w:after="120" w:line="276"/>
      </w:pPr>
      <w:r>
        <w:rPr>
          <w:rFonts w:ascii="Calibri" w:cs="Calibri" w:eastAsia="Calibri" w:hAnsi="Calibri"/>
          <w:sz w:val="21"/>
          <w:szCs w:val="21"/>
        </w:rPr>
        <w:t xml:space="preserve">I dati sono divisi in quattro database PostgreSQL distinti, così le credenziali non stanno insieme ai dati di lavoro: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Database</w:t>
            </w:r>
          </w:p>
        </w:tc>
        <w:tc>
          <w:tcPr>
            <w:tcW w:type="dxa" w:w="7228"/>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Contenuto</w:t>
            </w:r>
          </w:p>
        </w:tc>
      </w:tr>
      <w:tr>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projexa</w:t>
            </w:r>
          </w:p>
        </w:tc>
        <w:tc>
          <w:tcPr>
            <w:tcW w:type="dxa" w:w="722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Dati di lavoro: clienti, progetti, attività, riunioni, costi, KPI, impostazioni</w:t>
            </w:r>
          </w:p>
        </w:tc>
      </w:tr>
      <w:tr>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projexa_auth</w:t>
            </w:r>
          </w:p>
        </w:tc>
        <w:tc>
          <w:tcPr>
            <w:tcW w:type="dxa" w:w="722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Credenziali: email, impronta della password (bcrypt), sessioni revocate, token delle integrazioni (cifrati)</w:t>
            </w:r>
          </w:p>
        </w:tc>
      </w:tr>
      <w:tr>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projexa_lic</w:t>
            </w:r>
          </w:p>
        </w:tc>
        <w:tc>
          <w:tcPr>
            <w:tcW w:type="dxa" w:w="722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Licenze e scadenze degli account</w:t>
            </w:r>
          </w:p>
        </w:tc>
      </w:tr>
      <w:tr>
        <w:tc>
          <w:tcPr>
            <w:tcW w:type="dxa" w:w="241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projexa_notif</w:t>
            </w:r>
          </w:p>
        </w:tc>
        <w:tc>
          <w:tcPr>
            <w:tcW w:type="dxa" w:w="722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Notifiche</w:t>
            </w:r>
          </w:p>
        </w:tc>
      </w:tr>
    </w:tbl>
    <w:p>
      <w:pPr>
        <w:spacing w:after="80"/>
      </w:pPr>
    </w:p>
    <w:p>
      <w:pPr>
        <w:pStyle w:val="ListParagraph"/>
        <w:numPr>
          <w:ilvl w:val="0"/>
          <w:numId w:val="2"/>
        </w:numPr>
        <w:spacing w:after="80" w:line="264"/>
      </w:pPr>
      <w:r>
        <w:rPr>
          <w:rFonts w:ascii="Calibri" w:cs="Calibri" w:eastAsia="Calibri" w:hAnsi="Calibri"/>
          <w:b/>
          <w:bCs/>
          <w:sz w:val="21"/>
          <w:szCs w:val="21"/>
        </w:rPr>
        <w:t xml:space="preserve">Nessun accesso da internet.</w:t>
      </w:r>
      <w:r>
        <w:rPr>
          <w:rFonts w:ascii="Calibri" w:cs="Calibri" w:eastAsia="Calibri" w:hAnsi="Calibri"/>
          <w:sz w:val="21"/>
          <w:szCs w:val="21"/>
        </w:rPr>
        <w:t xml:space="preserve"> PostgreSQL ascolta solo sull'indirizzo interno del server; la porta non è raggiungibile dall'esterno.</w:t>
      </w:r>
    </w:p>
    <w:p>
      <w:pPr>
        <w:pStyle w:val="ListParagraph"/>
        <w:numPr>
          <w:ilvl w:val="0"/>
          <w:numId w:val="2"/>
        </w:numPr>
        <w:spacing w:after="80" w:line="264"/>
      </w:pPr>
      <w:r>
        <w:rPr>
          <w:rFonts w:ascii="Calibri" w:cs="Calibri" w:eastAsia="Calibri" w:hAnsi="Calibri"/>
          <w:b/>
          <w:bCs/>
          <w:sz w:val="21"/>
          <w:szCs w:val="21"/>
        </w:rPr>
        <w:t xml:space="preserve">Utente applicativo dedicato</w:t>
      </w:r>
      <w:r>
        <w:rPr>
          <w:rFonts w:ascii="Calibri" w:cs="Calibri" w:eastAsia="Calibri" w:hAnsi="Calibri"/>
          <w:sz w:val="21"/>
          <w:szCs w:val="21"/>
        </w:rPr>
        <w:t xml:space="preserve"> con password casuale conservata in un file leggibile solo dal sistema.</w:t>
      </w:r>
    </w:p>
    <w:p>
      <w:pPr>
        <w:pStyle w:val="ListParagraph"/>
        <w:numPr>
          <w:ilvl w:val="0"/>
          <w:numId w:val="2"/>
        </w:numPr>
        <w:spacing w:after="80" w:line="264"/>
      </w:pPr>
      <w:r>
        <w:rPr>
          <w:rFonts w:ascii="Calibri" w:cs="Calibri" w:eastAsia="Calibri" w:hAnsi="Calibri"/>
          <w:b/>
          <w:bCs/>
          <w:sz w:val="21"/>
          <w:szCs w:val="21"/>
        </w:rPr>
        <w:t xml:space="preserve">Multi-tenant.</w:t>
      </w:r>
      <w:r>
        <w:rPr>
          <w:rFonts w:ascii="Calibri" w:cs="Calibri" w:eastAsia="Calibri" w:hAnsi="Calibri"/>
          <w:sz w:val="21"/>
          <w:szCs w:val="21"/>
        </w:rPr>
        <w:t xml:space="preserve"> Ogni riga porta l'identificativo dell'azienda (tenant) e dell'utente proprietario: l'applicazione filtra sempre per entrambi (capitolo 8).</w:t>
      </w:r>
    </w:p>
    <w:p>
      <w:pPr>
        <w:pStyle w:val="ListParagraph"/>
        <w:numPr>
          <w:ilvl w:val="0"/>
          <w:numId w:val="2"/>
        </w:numPr>
        <w:spacing w:after="80" w:line="264"/>
      </w:pPr>
      <w:r>
        <w:rPr>
          <w:rFonts w:ascii="Calibri" w:cs="Calibri" w:eastAsia="Calibri" w:hAnsi="Calibri"/>
          <w:b/>
          <w:bCs/>
          <w:sz w:val="21"/>
          <w:szCs w:val="21"/>
        </w:rPr>
        <w:t xml:space="preserve">Storico delle modifiche.</w:t>
      </w:r>
      <w:r>
        <w:rPr>
          <w:rFonts w:ascii="Calibri" w:cs="Calibri" w:eastAsia="Calibri" w:hAnsi="Calibri"/>
          <w:sz w:val="21"/>
          <w:szCs w:val="21"/>
        </w:rPr>
        <w:t xml:space="preserve"> Le variazioni ai dati vengono registrate con i valori prima e dopo in un database di audit separato (capitolo 12).</w:t>
      </w:r>
    </w:p>
    <w:p>
      <w:pPr>
        <w:pStyle w:val="Heading1"/>
        <w:spacing w:after="160" w:before="360"/>
      </w:pPr>
      <w:r>
        <w:rPr>
          <w:rFonts w:ascii="Calibri" w:cs="Calibri" w:eastAsia="Calibri" w:hAnsi="Calibri"/>
          <w:b/>
          <w:bCs/>
          <w:color w:val="312E81"/>
          <w:sz w:val="30"/>
          <w:szCs w:val="30"/>
        </w:rPr>
        <w:t xml:space="preserve">7. Accesso e sessioni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Misura</w:t>
            </w:r>
          </w:p>
        </w:tc>
        <w:tc>
          <w:tcPr>
            <w:tcW w:type="dxa" w:w="7132"/>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Come funziona</w:t>
            </w:r>
          </w:p>
        </w:tc>
      </w:tr>
      <w:tr>
        <w:tc>
          <w:tcPr>
            <w:tcW w:type="dxa" w:w="250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Password</w:t>
            </w:r>
          </w:p>
        </w:tc>
        <w:tc>
          <w:tcPr>
            <w:tcW w:type="dxa" w:w="713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Mai salvate in chiaro: solo l'impronta bcrypt. Lunghezza minima 8 caratteri. Il cambio richiede la password attuale.</w:t>
            </w:r>
          </w:p>
        </w:tc>
      </w:tr>
      <w:tr>
        <w:tc>
          <w:tcPr>
            <w:tcW w:type="dxa" w:w="250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Accessi alternativi</w:t>
            </w:r>
          </w:p>
        </w:tc>
        <w:tc>
          <w:tcPr>
            <w:tcW w:type="dxa" w:w="713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Accesso con Google o Microsoft (OAuth 2.0) e «magic link» via email, valido 60 secondi e utilizzabile una sola volta (anche dopo un riavvio del server).</w:t>
            </w:r>
          </w:p>
        </w:tc>
      </w:tr>
      <w:tr>
        <w:tc>
          <w:tcPr>
            <w:tcW w:type="dxa" w:w="250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Sessione</w:t>
            </w:r>
          </w:p>
        </w:tc>
        <w:tc>
          <w:tcPr>
            <w:tcW w:type="dxa" w:w="713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Token firmato conservato solo in un cookie HttpOnly, Secure, SameSite=Strict: il codice JavaScript della pagina non può leggerlo, quindi non può essere rubato da uno script malevolo.</w:t>
            </w:r>
          </w:p>
        </w:tc>
      </w:tr>
      <w:tr>
        <w:tc>
          <w:tcPr>
            <w:tcW w:type="dxa" w:w="250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Durata</w:t>
            </w:r>
          </w:p>
        </w:tc>
        <w:tc>
          <w:tcPr>
            <w:tcW w:type="dxa" w:w="713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La sessione scade dopo 2 ore di inattività e comunque 24 ore dopo l'accesso. Le richieste automatiche della pagina non la tengono viva.</w:t>
            </w:r>
          </w:p>
        </w:tc>
      </w:tr>
      <w:tr>
        <w:tc>
          <w:tcPr>
            <w:tcW w:type="dxa" w:w="250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Revoca</w:t>
            </w:r>
          </w:p>
        </w:tc>
        <w:tc>
          <w:tcPr>
            <w:tcW w:type="dxa" w:w="713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Il logout revoca la sessione sul server. Cambiando la password tutte le sessioni aperte decadono. Se un utente viene tolto da un'azienda o cambia ruolo, l'effetto è immediato (entro un minuto).</w:t>
            </w:r>
          </w:p>
        </w:tc>
      </w:tr>
      <w:tr>
        <w:tc>
          <w:tcPr>
            <w:tcW w:type="dxa" w:w="250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Protezione dai tentativi</w:t>
            </w:r>
          </w:p>
        </w:tc>
        <w:tc>
          <w:tcPr>
            <w:tcW w:type="dxa" w:w="713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Massimo 10 tentativi di login ogni 15 minuti per indirizzo IP e 10 password errate ogni 15 minuti per account; limiti anche su registrazione, recupero password e magic link.</w:t>
            </w:r>
          </w:p>
        </w:tc>
      </w:tr>
      <w:tr>
        <w:tc>
          <w:tcPr>
            <w:tcW w:type="dxa" w:w="250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Riservatezza degli account</w:t>
            </w:r>
          </w:p>
        </w:tc>
        <w:tc>
          <w:tcPr>
            <w:tcW w:type="dxa" w:w="713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Login, recupero password, magic link e registrazione rispondono allo stesso modo per email esistenti e non: non si può scoprire chi è registrato.</w:t>
            </w:r>
          </w:p>
        </w:tc>
      </w:tr>
      <w:tr>
        <w:tc>
          <w:tcPr>
            <w:tcW w:type="dxa" w:w="250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Protezione CSRF</w:t>
            </w:r>
          </w:p>
        </w:tc>
        <w:tc>
          <w:tcPr>
            <w:tcW w:type="dxa" w:w="7132"/>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Ogni chiamata deve avere sia il cookie sia un'intestazione che solo le pagine di Projexa inviano; il cookie non viaggia nelle richieste partite da altri siti.</w:t>
            </w:r>
          </w:p>
        </w:tc>
      </w:tr>
    </w:tbl>
    <w:p>
      <w:pPr>
        <w:pStyle w:val="Heading1"/>
        <w:spacing w:after="160" w:before="360"/>
      </w:pPr>
      <w:r>
        <w:rPr>
          <w:rFonts w:ascii="Calibri" w:cs="Calibri" w:eastAsia="Calibri" w:hAnsi="Calibri"/>
          <w:b/>
          <w:bCs/>
          <w:color w:val="312E81"/>
          <w:sz w:val="30"/>
          <w:szCs w:val="30"/>
        </w:rPr>
        <w:t xml:space="preserve">8. Controllo degli accessi ai dati</w:t>
      </w:r>
    </w:p>
    <w:p>
      <w:pPr>
        <w:pStyle w:val="ListParagraph"/>
        <w:numPr>
          <w:ilvl w:val="0"/>
          <w:numId w:val="2"/>
        </w:numPr>
        <w:spacing w:after="80" w:line="264"/>
      </w:pPr>
      <w:r>
        <w:rPr>
          <w:rFonts w:ascii="Calibri" w:cs="Calibri" w:eastAsia="Calibri" w:hAnsi="Calibri"/>
          <w:b/>
          <w:bCs/>
          <w:sz w:val="21"/>
          <w:szCs w:val="21"/>
        </w:rPr>
        <w:t xml:space="preserve">Separazione tra aziende.</w:t>
      </w:r>
      <w:r>
        <w:rPr>
          <w:rFonts w:ascii="Calibri" w:cs="Calibri" w:eastAsia="Calibri" w:hAnsi="Calibri"/>
          <w:sz w:val="21"/>
          <w:szCs w:val="21"/>
        </w:rPr>
        <w:t xml:space="preserve"> Un utente vede solo i dati della propria azienda (tenant); il controllo è fatto dal server su ogni richiesta, non dalla pagina.</w:t>
      </w:r>
    </w:p>
    <w:p>
      <w:pPr>
        <w:pStyle w:val="ListParagraph"/>
        <w:numPr>
          <w:ilvl w:val="0"/>
          <w:numId w:val="2"/>
        </w:numPr>
        <w:spacing w:after="80" w:line="264"/>
      </w:pPr>
      <w:r>
        <w:rPr>
          <w:rFonts w:ascii="Calibri" w:cs="Calibri" w:eastAsia="Calibri" w:hAnsi="Calibri"/>
          <w:b/>
          <w:bCs/>
          <w:sz w:val="21"/>
          <w:szCs w:val="21"/>
        </w:rPr>
        <w:t xml:space="preserve">Separazione tra colleghi.</w:t>
      </w:r>
      <w:r>
        <w:rPr>
          <w:rFonts w:ascii="Calibri" w:cs="Calibri" w:eastAsia="Calibri" w:hAnsi="Calibri"/>
          <w:sz w:val="21"/>
          <w:szCs w:val="21"/>
        </w:rPr>
        <w:t xml:space="preserve"> Nella stessa azienda ogni utente vede e modifica i propri dati. Eccezioni esplicite: clienti condivisi da un collega (in lettura o in scrittura, a scelta di chi condivide) e, per chi è indicato come Manager, i dati dei collaboratori diretti in sola lettura.</w:t>
      </w:r>
    </w:p>
    <w:p>
      <w:pPr>
        <w:pStyle w:val="ListParagraph"/>
        <w:numPr>
          <w:ilvl w:val="0"/>
          <w:numId w:val="2"/>
        </w:numPr>
        <w:spacing w:after="80" w:line="264"/>
      </w:pPr>
      <w:r>
        <w:rPr>
          <w:rFonts w:ascii="Calibri" w:cs="Calibri" w:eastAsia="Calibri" w:hAnsi="Calibri"/>
          <w:b/>
          <w:bCs/>
          <w:sz w:val="21"/>
          <w:szCs w:val="21"/>
        </w:rPr>
        <w:t xml:space="preserve">Ruoli.</w:t>
      </w:r>
      <w:r>
        <w:rPr>
          <w:rFonts w:ascii="Calibri" w:cs="Calibri" w:eastAsia="Calibri" w:hAnsi="Calibri"/>
          <w:sz w:val="21"/>
          <w:szCs w:val="21"/>
        </w:rPr>
        <w:t xml:space="preserve"> Ogni riga indica quali ruoli possono modificarla; la configurazione (strutture, ruoli, voci di costo, release) è riservata all'amministratore.</w:t>
      </w:r>
    </w:p>
    <w:p>
      <w:pPr>
        <w:pStyle w:val="ListParagraph"/>
        <w:numPr>
          <w:ilvl w:val="0"/>
          <w:numId w:val="2"/>
        </w:numPr>
        <w:spacing w:after="80" w:line="264"/>
      </w:pPr>
      <w:r>
        <w:rPr>
          <w:rFonts w:ascii="Calibri" w:cs="Calibri" w:eastAsia="Calibri" w:hAnsi="Calibri"/>
          <w:b/>
          <w:bCs/>
          <w:sz w:val="21"/>
          <w:szCs w:val="21"/>
        </w:rPr>
        <w:t xml:space="preserve">Amministratore unico.</w:t>
      </w:r>
      <w:r>
        <w:rPr>
          <w:rFonts w:ascii="Calibri" w:cs="Calibri" w:eastAsia="Calibri" w:hAnsi="Calibri"/>
          <w:sz w:val="21"/>
          <w:szCs w:val="21"/>
        </w:rPr>
        <w:t xml:space="preserve"> Il ruolo di amministratore di sistema è riservato a un solo account dell'azienda che gestisce Projexa; un amministratore di un'azienda cliente non può assegnarselo.</w:t>
      </w:r>
    </w:p>
    <w:p>
      <w:pPr>
        <w:pStyle w:val="ListParagraph"/>
        <w:numPr>
          <w:ilvl w:val="0"/>
          <w:numId w:val="2"/>
        </w:numPr>
        <w:spacing w:after="80" w:line="264"/>
      </w:pPr>
      <w:r>
        <w:rPr>
          <w:rFonts w:ascii="Calibri" w:cs="Calibri" w:eastAsia="Calibri" w:hAnsi="Calibri"/>
          <w:b/>
          <w:bCs/>
          <w:sz w:val="21"/>
          <w:szCs w:val="21"/>
        </w:rPr>
        <w:t xml:space="preserve">Strumenti di amministrazione.</w:t>
      </w:r>
      <w:r>
        <w:rPr>
          <w:rFonts w:ascii="Calibri" w:cs="Calibri" w:eastAsia="Calibri" w:hAnsi="Calibri"/>
          <w:sz w:val="21"/>
          <w:szCs w:val="21"/>
        </w:rPr>
        <w:t xml:space="preserve"> L'editor SQL è spento in produzione (doppio blocco nella configurazione); la pagina di gestione delle tabelle è raggiungibile solo dal server stesso, non da internet.</w:t>
      </w:r>
    </w:p>
    <w:p>
      <w:pPr>
        <w:pStyle w:val="Heading1"/>
        <w:spacing w:after="160" w:before="360"/>
      </w:pPr>
      <w:r>
        <w:rPr>
          <w:rFonts w:ascii="Calibri" w:cs="Calibri" w:eastAsia="Calibri" w:hAnsi="Calibri"/>
          <w:b/>
          <w:bCs/>
          <w:color w:val="312E81"/>
          <w:sz w:val="30"/>
          <w:szCs w:val="30"/>
        </w:rPr>
        <w:t xml:space="preserve">9. Cifratura dei dati</w:t>
      </w:r>
    </w:p>
    <w:p>
      <w:pPr>
        <w:pStyle w:val="Heading2"/>
        <w:spacing w:after="120" w:before="240"/>
      </w:pPr>
      <w:r>
        <w:rPr>
          <w:rFonts w:ascii="Calibri" w:cs="Calibri" w:eastAsia="Calibri" w:hAnsi="Calibri"/>
          <w:b/>
          <w:bCs/>
          <w:color w:val="312E81"/>
          <w:sz w:val="24"/>
          <w:szCs w:val="24"/>
        </w:rPr>
        <w:t xml:space="preserve">9.1 In transito</w:t>
      </w:r>
    </w:p>
    <w:p>
      <w:pPr>
        <w:spacing w:after="120" w:line="276"/>
      </w:pPr>
      <w:r>
        <w:rPr>
          <w:rFonts w:ascii="Calibri" w:cs="Calibri" w:eastAsia="Calibri" w:hAnsi="Calibri"/>
          <w:sz w:val="21"/>
          <w:szCs w:val="21"/>
        </w:rPr>
        <w:t xml:space="preserve">Tutte le comunicazioni tra browser e server sono cifrate con HTTPS (TLS, certificati rinnovati automaticamente). Il server impone HTTPS anche alle visite successive (HSTS, 180 giorni). Le chiamate verso i fornitori esterni (Google, Microsoft, Atlassian, fornitori di AI, Oracle) avvengono tutte in HTTPS.</w:t>
      </w:r>
    </w:p>
    <w:p>
      <w:pPr>
        <w:pStyle w:val="Heading2"/>
        <w:spacing w:after="120" w:before="240"/>
      </w:pPr>
      <w:r>
        <w:rPr>
          <w:rFonts w:ascii="Calibri" w:cs="Calibri" w:eastAsia="Calibri" w:hAnsi="Calibri"/>
          <w:b/>
          <w:bCs/>
          <w:color w:val="312E81"/>
          <w:sz w:val="24"/>
          <w:szCs w:val="24"/>
        </w:rPr>
        <w:t xml:space="preserve">9.2 A riposo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Dato</w:t>
            </w:r>
          </w:p>
        </w:tc>
        <w:tc>
          <w:tcPr>
            <w:tcW w:type="dxa" w:w="6168"/>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Protezione</w:t>
            </w:r>
          </w:p>
        </w:tc>
      </w:tr>
      <w:tr>
        <w:tc>
          <w:tcPr>
            <w:tcW w:type="dxa" w:w="347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Password</w:t>
            </w:r>
          </w:p>
        </w:tc>
        <w:tc>
          <w:tcPr>
            <w:tcW w:type="dxa" w:w="616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Impronta bcrypt (non reversibile)</w:t>
            </w:r>
          </w:p>
        </w:tc>
      </w:tr>
      <w:tr>
        <w:tc>
          <w:tcPr>
            <w:tcW w:type="dxa" w:w="347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Token delle integrazioni (Google, Microsoft, Jira) e chiavi API dei fornitori di AI</w:t>
            </w:r>
          </w:p>
        </w:tc>
        <w:tc>
          <w:tcPr>
            <w:tcW w:type="dxa" w:w="616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Cifrati con AES-256-GCM nel database delle credenziali; non tornano mai al browser</w:t>
            </w:r>
          </w:p>
        </w:tc>
      </w:tr>
      <w:tr>
        <w:tc>
          <w:tcPr>
            <w:tcW w:type="dxa" w:w="347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Dati personali e testi</w:t>
            </w:r>
          </w:p>
        </w:tc>
        <w:tc>
          <w:tcPr>
            <w:tcW w:type="dxa" w:w="616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Cifratura a livello di campo con AES-256-GCM (chiave fuori dal database, solo sul server): sul database il valore è illeggibile, l'applicazione lo mostra in chiaro solo a chi ha i permessi</w:t>
            </w:r>
          </w:p>
        </w:tc>
      </w:tr>
      <w:tr>
        <w:tc>
          <w:tcPr>
            <w:tcW w:type="dxa" w:w="347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Valori numerici e date</w:t>
            </w:r>
          </w:p>
        </w:tc>
        <w:tc>
          <w:tcPr>
            <w:tcW w:type="dxa" w:w="616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Non cifrabili per campo (servono a somme, filtri e ordinamenti): protetti dalla cifratura del disco, dai permessi e dall'isolamento per utente</w:t>
            </w:r>
          </w:p>
        </w:tc>
      </w:tr>
      <w:tr>
        <w:tc>
          <w:tcPr>
            <w:tcW w:type="dxa" w:w="347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Log di audit</w:t>
            </w:r>
          </w:p>
        </w:tc>
        <w:tc>
          <w:tcPr>
            <w:tcW w:type="dxa" w:w="616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 valori cifrati restano cifrati anche nei log; password e token sono mascherati</w:t>
            </w:r>
          </w:p>
        </w:tc>
      </w:tr>
      <w:tr>
        <w:tc>
          <w:tcPr>
            <w:tcW w:type="dxa" w:w="347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Backup</w:t>
            </w:r>
          </w:p>
        </w:tc>
        <w:tc>
          <w:tcPr>
            <w:tcW w:type="dxa" w:w="616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Oracle Object Storage cifra tutti gli oggetti a riposo (AES-256, chiavi gestite da Oracle)</w:t>
            </w:r>
          </w:p>
        </w:tc>
      </w:tr>
      <w:tr>
        <w:tc>
          <w:tcPr>
            <w:tcW w:type="dxa" w:w="3470"/>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Disco del server</w:t>
            </w:r>
          </w:p>
        </w:tc>
        <w:tc>
          <w:tcPr>
            <w:tcW w:type="dxa" w:w="6168"/>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Volume a blocchi Oracle, cifrato a riposo dalla piattaforma</w:t>
            </w:r>
          </w:p>
        </w:tc>
      </w:tr>
    </w:tbl>
    <w:p>
      <w:pPr>
        <w:pBdr>
          <w:left w:val="single" w:color="F59E0B" w:sz="18" w:space="6"/>
        </w:pBdr>
        <w:shd w:fill="FFFBEB" w:color="auto" w:val="clear"/>
        <w:spacing w:after="160" w:before="120" w:line="264"/>
      </w:pPr>
      <w:r>
        <w:rPr>
          <w:rFonts w:ascii="Calibri" w:cs="Calibri" w:eastAsia="Calibri" w:hAnsi="Calibri"/>
          <w:b/>
          <w:bCs/>
          <w:color w:val="92400E"/>
          <w:sz w:val="21"/>
          <w:szCs w:val="21"/>
        </w:rPr>
        <w:t xml:space="preserve">Copertura della cifratura di campo: </w:t>
      </w:r>
      <w:r>
        <w:rPr>
          <w:rFonts w:ascii="Calibri" w:cs="Calibri" w:eastAsia="Calibri" w:hAnsi="Calibri"/>
          <w:color w:val="92400E"/>
          <w:sz w:val="21"/>
          <w:szCs w:val="21"/>
        </w:rPr>
        <w:t xml:space="preserve">tutte le tabelle con dati personali o testi liberi: anagrafica e recapiti dei clienti, descrizioni e note dei progetti, rubrica, contatti, componenti dei team, riunioni e recap, attività, rischi, decisioni, Change Request, azioni del cliente, issue, task, operatori dei ticket MySupport, utenti. Restano in chiaro solo i campi tecnici usati dal server per filtrare e calcolare (stati, tipologie, anni, date, codici, numeri) e le impostazioni, che contengono configurazione e non dati personali. La regola è applicata a ogni scrittura e verificata sul database (ottobre 2026: nessun valore personale in chiaro).</w:t>
      </w:r>
    </w:p>
    <w:p>
      <w:pPr>
        <w:pStyle w:val="Heading1"/>
        <w:spacing w:after="160" w:before="360"/>
      </w:pPr>
      <w:r>
        <w:rPr>
          <w:rFonts w:ascii="Calibri" w:cs="Calibri" w:eastAsia="Calibri" w:hAnsi="Calibri"/>
          <w:b/>
          <w:bCs/>
          <w:color w:val="312E81"/>
          <w:sz w:val="30"/>
          <w:szCs w:val="30"/>
        </w:rPr>
        <w:t xml:space="preserve">10. Protezione dell'applicazione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Rischio</w:t>
            </w:r>
          </w:p>
        </w:tc>
        <w:tc>
          <w:tcPr>
            <w:tcW w:type="dxa" w:w="6747"/>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Contromisura</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Script malevoli nelle pagine (XSS)</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Content-Security-Policy: il browser esegue solo i file di Projexa, del CDN autorizzato e gli script delle pagine riconosciuti dalla loro impronta crittografica (SHA-256). Script iniettati e attributi «onclick» non vengono eseguiti. La sessione comunque non è leggibile da JavaScript.</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Inserimento di comandi SQL</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Query sempre parametrizzate; i nomi di tabelle e colonne sono controllati con un elenco ammesso</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Pagine incorniciate da altri siti (clickjacking)</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X-Frame-Options e frame-ancestors: solo Projexa può incorniciare le proprie pagine</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Richieste da altri siti</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CORS limitato all'indirizzo ufficiale; cookie SameSite=Strict; intestazione obbligatoria</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Server usato per raggiungere indirizzi interni (SSRF)</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Il server scarica solo da indirizzi fissi o da domini ammessi (es. calendari Outlook pubblicati), senza seguire redirect</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File caricati</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Solo immagini PNG, JPEG o WebP, massimo 1 MB, tipo verificato sul contenuto</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Messaggi di errore</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 produzione gli errori tecnici del database non arrivano al browser: l'utente riceve un codice di riferimento, il dettaglio resta nel log del server</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Dati riservati nelle risposte</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Le impronte delle password non vengono mai restituite; le chiavi API restano sul server</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Librerie di terze parti</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Controllo periodico delle vulnerabilità note (npm audit); aggiornamento tempestivo</w:t>
            </w:r>
          </w:p>
        </w:tc>
      </w:tr>
    </w:tbl>
    <w:p>
      <w:pPr>
        <w:pStyle w:val="Heading1"/>
        <w:spacing w:after="160" w:before="360"/>
      </w:pPr>
      <w:r>
        <w:rPr>
          <w:rFonts w:ascii="Calibri" w:cs="Calibri" w:eastAsia="Calibri" w:hAnsi="Calibri"/>
          <w:b/>
          <w:bCs/>
          <w:color w:val="312E81"/>
          <w:sz w:val="30"/>
          <w:szCs w:val="30"/>
        </w:rPr>
        <w:t xml:space="preserve">11. Backup e continuità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Aspetto</w:t>
            </w:r>
          </w:p>
        </w:tc>
        <w:tc>
          <w:tcPr>
            <w:tcW w:type="dxa" w:w="6939"/>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Configurazione</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Cosa</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 4 database, ogni notte alle 04:30 (pg_dump in formato compresso)</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Dove</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Oracle Object Storage, bucket dedicato nella regione di Milano; copia locale degli ultimi 3 giorni sul server</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Conservazione</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30 backup giornalieri e 12 mensili (uno al mese per un anno)</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Accesso</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Il server accede solo a quel bucket con un'identità propria (instance principal), senza chiavi salvate su disco</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Protezione dall'eliminazione</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Dalla pagina Monitor l'amministratore può eliminare un backup, ma gli ultimi 14 giornalieri e l'ultimo mensile sono protetti; ogni eliminazione resta nel log</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Ripristino</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Procedura documentata (pg_restore) su un database di prova o di produzione</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Perdita massima di dati (RPO)</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Circa 24 ore (dall'ultimo backup notturno)</w:t>
            </w:r>
          </w:p>
        </w:tc>
      </w:tr>
      <w:tr>
        <w:tc>
          <w:tcPr>
            <w:tcW w:type="dxa" w:w="269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Ambiente di prova (staging)</w:t>
            </w:r>
          </w:p>
        </w:tc>
        <w:tc>
          <w:tcPr>
            <w:tcW w:type="dxa" w:w="6939"/>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Ogni notte alle 05:30 una copia dei database viene caricata su Neon (PostgreSQL gestito, regione UE – Francoforte) e anonimizzata nella stessa transazione: token e chiavi cancellati, email, nominativi, telefoni, testi delle riunioni e anagrafica dei clienti sostituiti con valori fittizi. Se l'anonimizzazione fallisce, la copia non viene salvata.</w:t>
            </w:r>
          </w:p>
        </w:tc>
      </w:tr>
    </w:tbl>
    <w:p>
      <w:pPr>
        <w:pStyle w:val="Heading1"/>
        <w:spacing w:after="160" w:before="360"/>
      </w:pPr>
      <w:r>
        <w:rPr>
          <w:rFonts w:ascii="Calibri" w:cs="Calibri" w:eastAsia="Calibri" w:hAnsi="Calibri"/>
          <w:b/>
          <w:bCs/>
          <w:color w:val="312E81"/>
          <w:sz w:val="30"/>
          <w:szCs w:val="30"/>
        </w:rPr>
        <w:t xml:space="preserve">12. Log e tracciabilità</w:t>
      </w:r>
    </w:p>
    <w:p>
      <w:pPr>
        <w:spacing w:after="120" w:line="276"/>
      </w:pPr>
      <w:r>
        <w:rPr>
          <w:rFonts w:ascii="Calibri" w:cs="Calibri" w:eastAsia="Calibri" w:hAnsi="Calibri"/>
          <w:sz w:val="21"/>
          <w:szCs w:val="21"/>
        </w:rPr>
        <w:t xml:space="preserve">Projexa registra gli eventi rilevanti in un database Oracle Autonomous Database separato dall'applicazione. L'applicazione può solo aggiungere righe e leggerle: non può modificarle né cancellarle liberamente.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976"/>
        <w:gridCol w:w="1927"/>
      </w:tblGrid>
      <w:tr>
        <w:trPr>
          <w:tblHeader/>
        </w:trPr>
        <w:tc>
          <w:tcPr>
            <w:tcW w:type="dxa" w:w="1735"/>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Registro</w:t>
            </w:r>
          </w:p>
        </w:tc>
        <w:tc>
          <w:tcPr>
            <w:tcW w:type="dxa" w:w="5976"/>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Contenuto</w:t>
            </w:r>
          </w:p>
        </w:tc>
        <w:tc>
          <w:tcPr>
            <w:tcW w:type="dxa" w:w="1927"/>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Conservazione</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Accessi</w:t>
            </w:r>
          </w:p>
        </w:tc>
        <w:tc>
          <w:tcPr>
            <w:tcW w:type="dxa" w:w="597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Login riusciti e falliti (con motivo), accessi con Google/Microsoft/magic link, cambi password, impersonificazioni dell'amministratore</w:t>
            </w:r>
          </w:p>
        </w:tc>
        <w:tc>
          <w:tcPr>
            <w:tcW w:type="dxa" w:w="192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12 mesi</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Variazioni</w:t>
            </w:r>
          </w:p>
        </w:tc>
        <w:tc>
          <w:tcPr>
            <w:tcW w:type="dxa" w:w="597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Ogni modifica ai dati con utente, data, valori prima e dopo (password e token mascherati, valori cifrati restano cifrati)</w:t>
            </w:r>
          </w:p>
        </w:tc>
        <w:tc>
          <w:tcPr>
            <w:tcW w:type="dxa" w:w="192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24 mesi</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Email</w:t>
            </w:r>
          </w:p>
        </w:tc>
        <w:tc>
          <w:tcPr>
            <w:tcW w:type="dxa" w:w="5976"/>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Email inviate dalla piattaforma (tipo, esito, destinatario); mai il testo</w:t>
            </w:r>
          </w:p>
        </w:tc>
        <w:tc>
          <w:tcPr>
            <w:tcW w:type="dxa" w:w="192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12 mesi</w:t>
            </w:r>
          </w:p>
        </w:tc>
      </w:tr>
    </w:tbl>
    <w:p>
      <w:pPr>
        <w:spacing w:after="80"/>
      </w:pPr>
    </w:p>
    <w:p>
      <w:pPr>
        <w:spacing w:after="120" w:line="276"/>
      </w:pPr>
      <w:r>
        <w:rPr>
          <w:rFonts w:ascii="Calibri" w:cs="Calibri" w:eastAsia="Calibri" w:hAnsi="Calibri"/>
          <w:sz w:val="21"/>
          <w:szCs w:val="21"/>
        </w:rPr>
        <w:t xml:space="preserve">La cancellazione automatica oltre i termini è svolta da un lavoro notturno del database di audit. L'eliminazione manuale è possibile solo per i log più vecchi di 30 giorni ed è a sua volta registrata.</w:t>
      </w:r>
    </w:p>
    <w:p>
      <w:pPr>
        <w:pStyle w:val="Heading1"/>
        <w:spacing w:after="160" w:before="360"/>
      </w:pPr>
      <w:r>
        <w:rPr>
          <w:rFonts w:ascii="Calibri" w:cs="Calibri" w:eastAsia="Calibri" w:hAnsi="Calibri"/>
          <w:b/>
          <w:bCs/>
          <w:color w:val="312E81"/>
          <w:sz w:val="30"/>
          <w:szCs w:val="30"/>
        </w:rPr>
        <w:t xml:space="preserve">13. Intelligenza artificiale e trascrizioni</w:t>
      </w:r>
    </w:p>
    <w:p>
      <w:pPr>
        <w:pStyle w:val="Heading2"/>
        <w:spacing w:after="120" w:before="240"/>
      </w:pPr>
      <w:r>
        <w:rPr>
          <w:rFonts w:ascii="Calibri" w:cs="Calibri" w:eastAsia="Calibri" w:hAnsi="Calibri"/>
          <w:b/>
          <w:bCs/>
          <w:color w:val="312E81"/>
          <w:sz w:val="24"/>
          <w:szCs w:val="24"/>
        </w:rPr>
        <w:t xml:space="preserve">13.1 Trascrizione delle riunioni</w:t>
      </w:r>
    </w:p>
    <w:p>
      <w:pPr>
        <w:spacing w:after="120" w:line="276"/>
      </w:pPr>
      <w:r>
        <w:rPr>
          <w:rFonts w:ascii="Calibri" w:cs="Calibri" w:eastAsia="Calibri" w:hAnsi="Calibri"/>
          <w:sz w:val="21"/>
          <w:szCs w:val="21"/>
        </w:rPr>
        <w:t xml:space="preserve">L'audio delle riunioni viene trascritto sul server di Projexa, con modelli di riconoscimento vocale installati localmente (Whisper): l'audio non viene inviato a fornitori esterni per la trascrizione. I blocchi audio vengono cancellati appena trascritti; eventuali residui vengono eliminati automaticamente dopo alcune ore.</w:t>
      </w:r>
    </w:p>
    <w:p>
      <w:pPr>
        <w:pStyle w:val="Heading2"/>
        <w:spacing w:after="120" w:before="240"/>
      </w:pPr>
      <w:r>
        <w:rPr>
          <w:rFonts w:ascii="Calibri" w:cs="Calibri" w:eastAsia="Calibri" w:hAnsi="Calibri"/>
          <w:b/>
          <w:bCs/>
          <w:color w:val="312E81"/>
          <w:sz w:val="24"/>
          <w:szCs w:val="24"/>
        </w:rPr>
        <w:t xml:space="preserve">13.2 Recap e documenti generati</w:t>
      </w:r>
    </w:p>
    <w:p>
      <w:pPr>
        <w:pStyle w:val="ListParagraph"/>
        <w:numPr>
          <w:ilvl w:val="0"/>
          <w:numId w:val="2"/>
        </w:numPr>
        <w:spacing w:after="80" w:line="264"/>
      </w:pPr>
      <w:r>
        <w:rPr>
          <w:rFonts w:ascii="Calibri" w:cs="Calibri" w:eastAsia="Calibri" w:hAnsi="Calibri"/>
          <w:b/>
          <w:bCs/>
          <w:sz w:val="21"/>
          <w:szCs w:val="21"/>
        </w:rPr>
        <w:t xml:space="preserve">AI locale.</w:t>
      </w:r>
      <w:r>
        <w:rPr>
          <w:rFonts w:ascii="Calibri" w:cs="Calibri" w:eastAsia="Calibri" w:hAnsi="Calibri"/>
          <w:sz w:val="21"/>
          <w:szCs w:val="21"/>
        </w:rPr>
        <w:t xml:space="preserve"> Il recap può essere generato da un modello che gira sul server di Projexa (Ollama): in questo caso il testo non esce dal server.</w:t>
      </w:r>
    </w:p>
    <w:p>
      <w:pPr>
        <w:pStyle w:val="ListParagraph"/>
        <w:numPr>
          <w:ilvl w:val="0"/>
          <w:numId w:val="2"/>
        </w:numPr>
        <w:spacing w:after="80" w:line="264"/>
      </w:pPr>
      <w:r>
        <w:rPr>
          <w:rFonts w:ascii="Calibri" w:cs="Calibri" w:eastAsia="Calibri" w:hAnsi="Calibri"/>
          <w:b/>
          <w:bCs/>
          <w:sz w:val="21"/>
          <w:szCs w:val="21"/>
        </w:rPr>
        <w:t xml:space="preserve">AI esterne, a scelta dell'utente.</w:t>
      </w:r>
      <w:r>
        <w:rPr>
          <w:rFonts w:ascii="Calibri" w:cs="Calibri" w:eastAsia="Calibri" w:hAnsi="Calibri"/>
          <w:sz w:val="21"/>
          <w:szCs w:val="21"/>
        </w:rPr>
        <w:t xml:space="preserve"> L'utente può collegare il proprio account di un fornitore (OpenAI ChatGPT, Anthropic Claude, Google Gemini, Mistral) con la propria chiave API. Solo allora il testo necessario alla funzione richiesta viene inviato a quel fornitore, secondo le sue condizioni d'uso delle API.</w:t>
      </w:r>
    </w:p>
    <w:p>
      <w:pPr>
        <w:pStyle w:val="ListParagraph"/>
        <w:numPr>
          <w:ilvl w:val="0"/>
          <w:numId w:val="2"/>
        </w:numPr>
        <w:spacing w:after="80" w:line="264"/>
      </w:pPr>
      <w:r>
        <w:rPr>
          <w:rFonts w:ascii="Calibri" w:cs="Calibri" w:eastAsia="Calibri" w:hAnsi="Calibri"/>
          <w:b/>
          <w:bCs/>
          <w:sz w:val="21"/>
          <w:szCs w:val="21"/>
        </w:rPr>
        <w:t xml:space="preserve">Minimizzazione.</w:t>
      </w:r>
      <w:r>
        <w:rPr>
          <w:rFonts w:ascii="Calibri" w:cs="Calibri" w:eastAsia="Calibri" w:hAnsi="Calibri"/>
          <w:sz w:val="21"/>
          <w:szCs w:val="21"/>
        </w:rPr>
        <w:t xml:space="preserve"> Per il Dossier Cliente all'AI non arrivano ragione sociale, codice fiscale, partita IVA né il nome del cliente; numeri e tabelle sono calcolati da Projexa, l'AI scrive solo la sintesi.</w:t>
      </w:r>
    </w:p>
    <w:p>
      <w:pPr>
        <w:pStyle w:val="ListParagraph"/>
        <w:numPr>
          <w:ilvl w:val="0"/>
          <w:numId w:val="2"/>
        </w:numPr>
        <w:spacing w:after="80" w:line="264"/>
      </w:pPr>
      <w:r>
        <w:rPr>
          <w:rFonts w:ascii="Calibri" w:cs="Calibri" w:eastAsia="Calibri" w:hAnsi="Calibri"/>
          <w:b/>
          <w:bCs/>
          <w:sz w:val="21"/>
          <w:szCs w:val="21"/>
        </w:rPr>
        <w:t xml:space="preserve">Revisione umana.</w:t>
      </w:r>
      <w:r>
        <w:rPr>
          <w:rFonts w:ascii="Calibri" w:cs="Calibri" w:eastAsia="Calibri" w:hAnsi="Calibri"/>
          <w:sz w:val="21"/>
          <w:szCs w:val="21"/>
        </w:rPr>
        <w:t xml:space="preserve"> I testi generati sono proposte che l'utente rivede; nessuna decisione con effetti sulle persone viene presa in automatico.</w:t>
      </w:r>
    </w:p>
    <w:p>
      <w:pPr>
        <w:pStyle w:val="ListParagraph"/>
        <w:numPr>
          <w:ilvl w:val="0"/>
          <w:numId w:val="2"/>
        </w:numPr>
        <w:spacing w:after="80" w:line="264"/>
      </w:pPr>
      <w:r>
        <w:rPr>
          <w:rFonts w:ascii="Calibri" w:cs="Calibri" w:eastAsia="Calibri" w:hAnsi="Calibri"/>
          <w:b/>
          <w:bCs/>
          <w:sz w:val="21"/>
          <w:szCs w:val="21"/>
        </w:rPr>
        <w:t xml:space="preserve">Assistente PM durante le riunioni</w:t>
      </w:r>
      <w:r>
        <w:rPr>
          <w:rFonts w:ascii="Calibri" w:cs="Calibri" w:eastAsia="Calibri" w:hAnsi="Calibri"/>
          <w:sz w:val="21"/>
          <w:szCs w:val="21"/>
        </w:rPr>
        <w:t xml:space="preserve"> (facoltativo): può inviare audio o testo in tempo reale a Google Gemini; si attiva solo su scelta esplicita dell'utente.</w:t>
      </w:r>
    </w:p>
    <w:p>
      <w:pPr>
        <w:pStyle w:val="Heading1"/>
        <w:spacing w:after="160" w:before="360"/>
      </w:pPr>
      <w:r>
        <w:rPr>
          <w:rFonts w:ascii="Calibri" w:cs="Calibri" w:eastAsia="Calibri" w:hAnsi="Calibri"/>
          <w:b/>
          <w:bCs/>
          <w:color w:val="312E81"/>
          <w:sz w:val="30"/>
          <w:szCs w:val="30"/>
        </w:rPr>
        <w:t xml:space="preserve">14. Integrazioni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Integrazione</w:t>
            </w:r>
          </w:p>
        </w:tc>
        <w:tc>
          <w:tcPr>
            <w:tcW w:type="dxa" w:w="6747"/>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Come è protetta</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Calendari Google e Microsoft</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OAuth 2.0 con autorizzazione dell'utente; token cifrati; collegamento legato al browser che lo ha avviato; revocabile in qualsiasi momento</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Calendario Outlook pubblicato (ICS)</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Accettati solo indirizzi HTTPS dei domini Outlook</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Jira (Atlassian)</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OAuth 2.0; token cifrati</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MySupport (ticket)</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 dati arrivano dallo script aziendale con un token dedicato per utente, conservato solo come impronta SHA-256, revocabile; nessun file salvato sul server</w:t>
            </w:r>
          </w:p>
        </w:tc>
      </w:tr>
      <w:tr>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Email in uscita</w:t>
            </w:r>
          </w:p>
        </w:tc>
        <w:tc>
          <w:tcPr>
            <w:tcW w:type="dxa" w:w="6747"/>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Invio tramite SMTP di Google (Gmail) con password applicativa dedicata</w:t>
            </w:r>
          </w:p>
        </w:tc>
      </w:tr>
    </w:tbl>
    <w:p>
      <w:pPr>
        <w:pStyle w:val="Heading1"/>
        <w:spacing w:after="160" w:before="360"/>
      </w:pPr>
      <w:r>
        <w:rPr>
          <w:rFonts w:ascii="Calibri" w:cs="Calibri" w:eastAsia="Calibri" w:hAnsi="Calibri"/>
          <w:b/>
          <w:bCs/>
          <w:color w:val="312E81"/>
          <w:sz w:val="30"/>
          <w:szCs w:val="30"/>
        </w:rPr>
        <w:t xml:space="preserve">15. Fornitori coinvolti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2891"/>
        <w:gridCol w:w="2121"/>
      </w:tblGrid>
      <w:tr>
        <w:trPr>
          <w:tblHeader/>
        </w:trPr>
        <w:tc>
          <w:tcPr>
            <w:tcW w:type="dxa" w:w="1735"/>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Fornitore</w:t>
            </w:r>
          </w:p>
        </w:tc>
        <w:tc>
          <w:tcPr>
            <w:tcW w:type="dxa" w:w="289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Servizio</w:t>
            </w:r>
          </w:p>
        </w:tc>
        <w:tc>
          <w:tcPr>
            <w:tcW w:type="dxa" w:w="289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Dati</w:t>
            </w:r>
          </w:p>
        </w:tc>
        <w:tc>
          <w:tcPr>
            <w:tcW w:type="dxa" w:w="212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Localizzazione</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Oracle Cloud</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Server, database di audit, backup</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Tutti i dati della piattaforma</w:t>
            </w:r>
          </w:p>
        </w:tc>
        <w:tc>
          <w:tcPr>
            <w:tcW w:type="dxa" w:w="212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Italia (Milano)</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Neon</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Ambiente di staging (copia notturna)</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Copia ANONIMIZZATA dei database (nessun dato personale né token)</w:t>
            </w:r>
          </w:p>
        </w:tc>
        <w:tc>
          <w:tcPr>
            <w:tcW w:type="dxa" w:w="212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UE (Francoforte)</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OVHcloud</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Registrazione dominio e DNS</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Nessun dato personale degli utenti</w:t>
            </w:r>
          </w:p>
        </w:tc>
        <w:tc>
          <w:tcPr>
            <w:tcW w:type="dxa" w:w="212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UE</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GitHub (Microsoft)</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Codice sorgente e rilasci</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Nessun dato degli utenti</w:t>
            </w:r>
          </w:p>
        </w:tc>
        <w:tc>
          <w:tcPr>
            <w:tcW w:type="dxa" w:w="212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USA</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Google</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Accesso con Google, calendario, email in uscita, Gemini (se scelto)</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Dati di account, eventi, email, testi inviati all'AI</w:t>
            </w:r>
          </w:p>
        </w:tc>
        <w:tc>
          <w:tcPr>
            <w:tcW w:type="dxa" w:w="212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UE/USA secondo servizio</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Microsoft</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Accesso con Microsoft, calendario</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Dati di account ed eventi</w:t>
            </w:r>
          </w:p>
        </w:tc>
        <w:tc>
          <w:tcPr>
            <w:tcW w:type="dxa" w:w="212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UE/USA secondo servizio</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Atlassian</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Jira</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Dati dei ticket</w:t>
            </w:r>
          </w:p>
        </w:tc>
        <w:tc>
          <w:tcPr>
            <w:tcW w:type="dxa" w:w="212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Secondo l'istanza del cliente</w:t>
            </w:r>
          </w:p>
        </w:tc>
      </w:tr>
      <w:tr>
        <w:tc>
          <w:tcPr>
            <w:tcW w:type="dxa" w:w="1735"/>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OpenAI, Anthropic, Mistral</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AI esterne, solo se collegate dall'utente</w:t>
            </w:r>
          </w:p>
        </w:tc>
        <w:tc>
          <w:tcPr>
            <w:tcW w:type="dxa" w:w="289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Testi inviati per la funzione richiesta</w:t>
            </w:r>
          </w:p>
        </w:tc>
        <w:tc>
          <w:tcPr>
            <w:tcW w:type="dxa" w:w="212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USA / UE (Mistral)</w:t>
            </w:r>
          </w:p>
        </w:tc>
      </w:tr>
    </w:tbl>
    <w:p>
      <w:pPr>
        <w:pStyle w:val="Heading1"/>
        <w:spacing w:after="160" w:before="360"/>
      </w:pPr>
      <w:r>
        <w:rPr>
          <w:rFonts w:ascii="Calibri" w:cs="Calibri" w:eastAsia="Calibri" w:hAnsi="Calibri"/>
          <w:b/>
          <w:bCs/>
          <w:color w:val="312E81"/>
          <w:sz w:val="30"/>
          <w:szCs w:val="30"/>
        </w:rPr>
        <w:t xml:space="preserve">16. Verifiche svolte e punti aperti</w:t>
      </w:r>
    </w:p>
    <w:p>
      <w:pPr>
        <w:pStyle w:val="Heading2"/>
        <w:spacing w:after="120" w:before="240"/>
      </w:pPr>
      <w:r>
        <w:rPr>
          <w:rFonts w:ascii="Calibri" w:cs="Calibri" w:eastAsia="Calibri" w:hAnsi="Calibri"/>
          <w:b/>
          <w:bCs/>
          <w:color w:val="312E81"/>
          <w:sz w:val="24"/>
          <w:szCs w:val="24"/>
        </w:rPr>
        <w:t xml:space="preserve">16.1 Verifiche di sicurezza</w:t>
      </w:r>
    </w:p>
    <w:p>
      <w:pPr>
        <w:spacing w:after="120" w:line="276"/>
      </w:pPr>
      <w:r>
        <w:rPr>
          <w:rFonts w:ascii="Calibri" w:cs="Calibri" w:eastAsia="Calibri" w:hAnsi="Calibri"/>
          <w:sz w:val="21"/>
          <w:szCs w:val="21"/>
        </w:rPr>
        <w:t xml:space="preserve">Il codice e la configurazione sono stati sottoposti a revisioni di sicurezza (agosto, 8 ottobre e 17 ottobre 2026). Gli interventi principali:</w:t>
      </w:r>
    </w:p>
    <w:p>
      <w:pPr>
        <w:pStyle w:val="ListParagraph"/>
        <w:numPr>
          <w:ilvl w:val="0"/>
          <w:numId w:val="2"/>
        </w:numPr>
        <w:spacing w:after="80" w:line="264"/>
      </w:pPr>
      <w:r>
        <w:rPr>
          <w:rFonts w:ascii="Calibri" w:cs="Calibri" w:eastAsia="Calibri" w:hAnsi="Calibri"/>
          <w:sz w:val="21"/>
          <w:szCs w:val="21"/>
        </w:rPr>
        <w:t xml:space="preserve">sessione spostata in un cookie HttpOnly, con revoca al logout, scadenza per inattività e rilettura dei permessi dal database;</w:t>
      </w:r>
    </w:p>
    <w:p>
      <w:pPr>
        <w:pStyle w:val="ListParagraph"/>
        <w:numPr>
          <w:ilvl w:val="0"/>
          <w:numId w:val="2"/>
        </w:numPr>
        <w:spacing w:after="80" w:line="264"/>
      </w:pPr>
      <w:r>
        <w:rPr>
          <w:rFonts w:ascii="Calibri" w:cs="Calibri" w:eastAsia="Calibri" w:hAnsi="Calibri"/>
          <w:sz w:val="21"/>
          <w:szCs w:val="21"/>
        </w:rPr>
        <w:t xml:space="preserve">isolamento tra utenti della stessa azienda sulle API generiche dei dati (prima filtravano solo per azienda);</w:t>
      </w:r>
    </w:p>
    <w:p>
      <w:pPr>
        <w:pStyle w:val="ListParagraph"/>
        <w:numPr>
          <w:ilvl w:val="0"/>
          <w:numId w:val="2"/>
        </w:numPr>
        <w:spacing w:after="80" w:line="264"/>
      </w:pPr>
      <w:r>
        <w:rPr>
          <w:rFonts w:ascii="Calibri" w:cs="Calibri" w:eastAsia="Calibri" w:hAnsi="Calibri"/>
          <w:sz w:val="21"/>
          <w:szCs w:val="21"/>
        </w:rPr>
        <w:t xml:space="preserve">politica di sicurezza dei contenuti senza script inline non autorizzati;</w:t>
      </w:r>
    </w:p>
    <w:p>
      <w:pPr>
        <w:pStyle w:val="ListParagraph"/>
        <w:numPr>
          <w:ilvl w:val="0"/>
          <w:numId w:val="2"/>
        </w:numPr>
        <w:spacing w:after="80" w:line="264"/>
      </w:pPr>
      <w:r>
        <w:rPr>
          <w:rFonts w:ascii="Calibri" w:cs="Calibri" w:eastAsia="Calibri" w:hAnsi="Calibri"/>
          <w:sz w:val="21"/>
          <w:szCs w:val="21"/>
        </w:rPr>
        <w:t xml:space="preserve">limiti ai tentativi di accesso per IP e per account; niente rivelazione degli account esistenti;</w:t>
      </w:r>
    </w:p>
    <w:p>
      <w:pPr>
        <w:pStyle w:val="ListParagraph"/>
        <w:numPr>
          <w:ilvl w:val="0"/>
          <w:numId w:val="2"/>
        </w:numPr>
        <w:spacing w:after="80" w:line="264"/>
      </w:pPr>
      <w:r>
        <w:rPr>
          <w:rFonts w:ascii="Calibri" w:cs="Calibri" w:eastAsia="Calibri" w:hAnsi="Calibri"/>
          <w:sz w:val="21"/>
          <w:szCs w:val="21"/>
        </w:rPr>
        <w:t xml:space="preserve">magic link monouso persistente; editor SQL spento in produzione con doppio blocco;</w:t>
      </w:r>
    </w:p>
    <w:p>
      <w:pPr>
        <w:pStyle w:val="ListParagraph"/>
        <w:numPr>
          <w:ilvl w:val="0"/>
          <w:numId w:val="2"/>
        </w:numPr>
        <w:spacing w:after="80" w:line="264"/>
      </w:pPr>
      <w:r>
        <w:rPr>
          <w:rFonts w:ascii="Calibri" w:cs="Calibri" w:eastAsia="Calibri" w:hAnsi="Calibri"/>
          <w:sz w:val="21"/>
          <w:szCs w:val="21"/>
        </w:rPr>
        <w:t xml:space="preserve">chiavi di cifratura e segreti del server ruotati a ottobre 2026, con ricifratura dei dati (verificato: tutti i valori cifrati si leggono con le chiavi nuove);</w:t>
      </w:r>
    </w:p>
    <w:p>
      <w:pPr>
        <w:pStyle w:val="ListParagraph"/>
        <w:numPr>
          <w:ilvl w:val="0"/>
          <w:numId w:val="2"/>
        </w:numPr>
        <w:spacing w:after="80" w:line="264"/>
      </w:pPr>
      <w:r>
        <w:rPr>
          <w:rFonts w:ascii="Calibri" w:cs="Calibri" w:eastAsia="Calibri" w:hAnsi="Calibri"/>
          <w:sz w:val="21"/>
          <w:szCs w:val="21"/>
        </w:rPr>
        <w:t xml:space="preserve">protezione contro richieste verso indirizzi interni, file caricati verificati, errori tecnici non esposti;</w:t>
      </w:r>
    </w:p>
    <w:p>
      <w:pPr>
        <w:pStyle w:val="ListParagraph"/>
        <w:numPr>
          <w:ilvl w:val="0"/>
          <w:numId w:val="2"/>
        </w:numPr>
        <w:spacing w:after="80" w:line="264"/>
      </w:pPr>
      <w:r>
        <w:rPr>
          <w:rFonts w:ascii="Calibri" w:cs="Calibri" w:eastAsia="Calibri" w:hAnsi="Calibri"/>
          <w:sz w:val="21"/>
          <w:szCs w:val="21"/>
        </w:rPr>
        <w:t xml:space="preserve">cifratura di campo estesa a tutte le tabelle con dati personali, con una regola per campo applicata a ogni scrittura e verifica sul database;</w:t>
      </w:r>
    </w:p>
    <w:p>
      <w:pPr>
        <w:pStyle w:val="ListParagraph"/>
        <w:numPr>
          <w:ilvl w:val="0"/>
          <w:numId w:val="2"/>
        </w:numPr>
        <w:spacing w:after="80" w:line="264"/>
      </w:pPr>
      <w:r>
        <w:rPr>
          <w:rFonts w:ascii="Calibri" w:cs="Calibri" w:eastAsia="Calibri" w:hAnsi="Calibri"/>
          <w:sz w:val="21"/>
          <w:szCs w:val="21"/>
        </w:rPr>
        <w:t xml:space="preserve">staging alimentato solo con dati anonimizzati;</w:t>
      </w:r>
    </w:p>
    <w:p>
      <w:pPr>
        <w:pStyle w:val="ListParagraph"/>
        <w:numPr>
          <w:ilvl w:val="0"/>
          <w:numId w:val="2"/>
        </w:numPr>
        <w:spacing w:after="80" w:line="264"/>
      </w:pPr>
      <w:r>
        <w:rPr>
          <w:rFonts w:ascii="Calibri" w:cs="Calibri" w:eastAsia="Calibri" w:hAnsi="Calibri"/>
          <w:sz w:val="21"/>
          <w:szCs w:val="21"/>
        </w:rPr>
        <w:t xml:space="preserve">verifica di tutti gli endpoint che scrivono dati (oltre 100): ognuno controlla azienda, proprietario e ruolo prima di scrivere; corretto l'import da file, che ora non può toccare le righe dei colleghi.</w:t>
      </w:r>
    </w:p>
    <w:p>
      <w:pPr>
        <w:pStyle w:val="Heading2"/>
        <w:spacing w:after="120" w:before="240"/>
      </w:pPr>
      <w:r>
        <w:rPr>
          <w:rFonts w:ascii="Calibri" w:cs="Calibri" w:eastAsia="Calibri" w:hAnsi="Calibri"/>
          <w:b/>
          <w:bCs/>
          <w:color w:val="312E81"/>
          <w:sz w:val="24"/>
          <w:szCs w:val="24"/>
        </w:rPr>
        <w:t xml:space="preserve">16.2 Punti aperti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1253"/>
        <w:gridCol w:w="3084"/>
      </w:tblGrid>
      <w:tr>
        <w:trPr>
          <w:tblHeader/>
        </w:trPr>
        <w:tc>
          <w:tcPr>
            <w:tcW w:type="dxa" w:w="5301"/>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Punto</w:t>
            </w:r>
          </w:p>
        </w:tc>
        <w:tc>
          <w:tcPr>
            <w:tcW w:type="dxa" w:w="1253"/>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Priorità</w:t>
            </w:r>
          </w:p>
        </w:tc>
        <w:tc>
          <w:tcPr>
            <w:tcW w:type="dxa" w:w="3084"/>
            <w:shd w:fill="EEF2FF" w:color="auto" w:val="clear"/>
            <w:tcMar>
              <w:top w:type="dxa" w:w="60"/>
              <w:left w:type="dxa" w:w="90"/>
              <w:bottom w:type="dxa" w:w="60"/>
              <w:right w:type="dxa" w:w="90"/>
            </w:tcMar>
          </w:tcPr>
          <w:p>
            <w:pPr>
              <w:spacing w:after="40"/>
            </w:pPr>
            <w:r>
              <w:rPr>
                <w:rFonts w:ascii="Calibri" w:cs="Calibri" w:eastAsia="Calibri" w:hAnsi="Calibri"/>
                <w:b/>
                <w:bCs/>
                <w:color w:val="312E81"/>
                <w:sz w:val="19"/>
                <w:szCs w:val="19"/>
              </w:rPr>
              <w:t xml:space="preserve">Nota</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Accordi di trattamento (DPA) con i fornitori della tabella 15</w:t>
            </w:r>
          </w:p>
        </w:tc>
        <w:tc>
          <w:tcPr>
            <w:tcW w:type="dxa" w:w="125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Alta</w:t>
            </w:r>
          </w:p>
        </w:tc>
        <w:tc>
          <w:tcPr>
            <w:tcW w:type="dxa" w:w="3084"/>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Organizzativo</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Informativa privacy, registro dei trattamenti, DPIA: versioni definitive firmate</w:t>
            </w:r>
          </w:p>
        </w:tc>
        <w:tc>
          <w:tcPr>
            <w:tcW w:type="dxa" w:w="125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Alta</w:t>
            </w:r>
          </w:p>
        </w:tc>
        <w:tc>
          <w:tcPr>
            <w:tcW w:type="dxa" w:w="3084"/>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Vedi documenti Legal</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Conservazione automatica dei dati applicativi (oltre a log e backup)</w:t>
            </w:r>
          </w:p>
        </w:tc>
        <w:tc>
          <w:tcPr>
            <w:tcW w:type="dxa" w:w="125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Media</w:t>
            </w:r>
          </w:p>
        </w:tc>
        <w:tc>
          <w:tcPr>
            <w:tcW w:type="dxa" w:w="3084"/>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Tecnico/organizzativo</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Test di penetrazione da parte di un soggetto indipendente</w:t>
            </w:r>
          </w:p>
        </w:tc>
        <w:tc>
          <w:tcPr>
            <w:tcW w:type="dxa" w:w="125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Media</w:t>
            </w:r>
          </w:p>
        </w:tc>
        <w:tc>
          <w:tcPr>
            <w:tcW w:type="dxa" w:w="3084"/>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Consigliato prima di una due diligence</w:t>
            </w:r>
          </w:p>
        </w:tc>
      </w:tr>
      <w:tr>
        <w:tc>
          <w:tcPr>
            <w:tcW w:type="dxa" w:w="5301"/>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Stili inline ancora ammessi nella CSP (rischio basso)</w:t>
            </w:r>
          </w:p>
        </w:tc>
        <w:tc>
          <w:tcPr>
            <w:tcW w:type="dxa" w:w="1253"/>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Bassa</w:t>
            </w:r>
          </w:p>
        </w:tc>
        <w:tc>
          <w:tcPr>
            <w:tcW w:type="dxa" w:w="3084"/>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Tecnico</w:t>
            </w:r>
          </w:p>
        </w:tc>
      </w:tr>
    </w:tbl>
    <w:p>
      <w:pPr>
        <w:spacing w:after="80"/>
      </w:pPr>
    </w:p>
    <w:p>
      <w:pPr>
        <w:pBdr>
          <w:left w:val="single" w:color="F59E0B" w:sz="18" w:space="6"/>
        </w:pBdr>
        <w:shd w:fill="FFFBEB" w:color="auto" w:val="clear"/>
        <w:spacing w:after="160" w:before="120" w:line="264"/>
      </w:pPr>
      <w:r>
        <w:rPr>
          <w:rFonts w:ascii="Calibri" w:cs="Calibri" w:eastAsia="Calibri" w:hAnsi="Calibri"/>
          <w:b/>
          <w:bCs/>
          <w:color w:val="92400E"/>
          <w:sz w:val="21"/>
          <w:szCs w:val="21"/>
        </w:rPr>
        <w:t xml:space="preserve">Avvertenza: </w:t>
      </w:r>
      <w:r>
        <w:rPr>
          <w:rFonts w:ascii="Calibri" w:cs="Calibri" w:eastAsia="Calibri" w:hAnsi="Calibri"/>
          <w:color w:val="92400E"/>
          <w:sz w:val="21"/>
          <w:szCs w:val="21"/>
        </w:rPr>
        <w:t xml:space="preserve">il documento descrive le misure tecniche e organizzative in essere alla data indicata. Non costituisce un parere legale né una certificazione; per la conformità GDPR fanno fede i documenti della cartella Legal validati dal DPO o da un consulente.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Projexa · Architettura e sicurezza · pag.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312E81"/>
      <w:sz w:val="30"/>
      <w:szCs w:val="30"/>
    </w:rPr>
  </w:style>
  <w:style w:type="paragraph" w:styleId="Heading2">
    <w:name w:val="Heading 2"/>
    <w:basedOn w:val="Normal"/>
    <w:next w:val="Normal"/>
    <w:qFormat/>
    <w:pPr>
      <w:outlineLvl w:val="1"/>
    </w:pPr>
    <w:rPr>
      <w:rFonts w:ascii="Calibri" w:cs="Calibri" w:eastAsia="Calibri" w:hAnsi="Calibri"/>
      <w:b/>
      <w:bCs/>
      <w:color w:val="312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Architettura e sicurezza</dc:title>
  <dc:creator>Projexa</dc:creator>
  <cp:lastModifiedBy>Un-named</cp:lastModifiedBy>
  <cp:revision>1</cp:revision>
  <dcterms:created xsi:type="dcterms:W3CDTF">2026-10-17T10:31:21.907Z</dcterms:created>
  <dcterms:modified xsi:type="dcterms:W3CDTF">2026-10-17T10:31:21.909Z</dcterms:modified>
</cp:coreProperties>
</file>

<file path=docProps/custom.xml><?xml version="1.0" encoding="utf-8"?>
<Properties xmlns="http://schemas.openxmlformats.org/officeDocument/2006/custom-properties" xmlns:vt="http://schemas.openxmlformats.org/officeDocument/2006/docPropsVTypes"/>
</file>