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Sub-responsabili e trasferimenti extra-UE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Elenco dei fornitori che trattano dati per conto di Projexa (artt. 28 e 44-49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Elenco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253"/>
        <w:gridCol w:w="1446"/>
        <w:gridCol w:w="1734"/>
      </w:tblGrid>
      <w:tr>
        <w:trPr>
          <w:tblHeader/>
        </w:trPr>
        <w:tc>
          <w:tcPr>
            <w:tcW w:type="dxa" w:w="134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Fornitore</w:t>
            </w:r>
          </w:p>
        </w:tc>
        <w:tc>
          <w:tcPr>
            <w:tcW w:type="dxa" w:w="1928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Servizio</w:t>
            </w:r>
          </w:p>
        </w:tc>
        <w:tc>
          <w:tcPr>
            <w:tcW w:type="dxa" w:w="1928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125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Sede del trattamento</w:t>
            </w:r>
          </w:p>
        </w:tc>
        <w:tc>
          <w:tcPr>
            <w:tcW w:type="dxa" w:w="144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Garanzia per il trasferimento</w:t>
            </w:r>
          </w:p>
        </w:tc>
        <w:tc>
          <w:tcPr>
            <w:tcW w:type="dxa" w:w="173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Accordo (DPA)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(Oracle Cloud Infrastructure)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applicativo, database, backup, trascrizione e AI locali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Tutti i dati della piattaforma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Italia (regione Milano)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Oracle (Data Processing Agreement OCI) — [da accettare/archiviare]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(Autonomous Database)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audit (accessi, variazioni, email)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con identificativi, IP, valori prima/dopo (password e token mascherati)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[Regione del database di audit]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se in UE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Stesso DPA Oracle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Neon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Ambiente di prova (staging)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copia ANONIMIZZATA: nessun dato personale né token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 (Francoforte, eu-central-1)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trasferimento; dati anonimi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Neon — [da accettare/archiviare]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OVH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del dominio projexa.it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del titolare del dominio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Francia (UE)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Condizioni OVH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con Google, calendario, invio email di servizio (Gmail), AI Gemini e chatbot (se usati)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e nome dell'utente, eventi, email di servizio; per Gemini il testo inviato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UE/USA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UE-USA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Cloud Data Processing Addendum — [vedi nota Gmail e Gemini]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Microsoft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con Microsoft, calendario Outlook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e nome dell'utente, identificativo Microsoft, eventi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UE/USA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Microsoft Products and Services DPA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Atlassian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Jira (solo se collegato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Ticket e campi Jira letti con l'account dell'utente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l'istanza Jira del cliente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l'istanza (DPF / SCC)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Atlassian DPA (dell'azienda cliente)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della trascrizione o dati di progetto necessari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OpenAI DPA — [da accettare]; via API i dati non sono usati per l'addestramento (condizioni standard)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Anthropic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sopra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Anthropic DPA (incluso nelle condizioni commerciali) — [da 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Mistral AI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sopra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Francia (UE)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Mistral DPA — [da accettare]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Note e azioni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Gmail per le email di servizio:</w:t>
      </w:r>
      <w:r>
        <w:rPr>
          <w:rFonts w:ascii="Calibri" w:cs="Calibri" w:eastAsia="Calibri" w:hAnsi="Calibri"/>
          <w:sz w:val="21"/>
          <w:szCs w:val="21"/>
        </w:rPr>
        <w:t xml:space="preserve"> oggi le email (conferma iscrizione, reset password, magic link) partono da un account Gmail personale (team.italia.projexa@gmail.com). Per un account Gmail gratuito Google non offre un accordo di trattamento (DPA): per essere in regola serve passare a Google Workspace oppure a un servizio di invio email con DPA e server in UE.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Gemini gratuito:</w:t>
      </w:r>
      <w:r>
        <w:rPr>
          <w:rFonts w:ascii="Calibri" w:cs="Calibri" w:eastAsia="Calibri" w:hAnsi="Calibri"/>
          <w:sz w:val="21"/>
          <w:szCs w:val="21"/>
        </w:rPr>
        <w:t xml:space="preserve"> con le chiavi API del piano gratuito Google può usare i contenuti per migliorare i propri prodotti. Con dati personali (trascrizioni, chatbot, Assistente PM) vanno usate solo chiavi di un progetto con fatturazione attiva (piano a pagamento).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Chiavi AI dell'utente:</w:t>
      </w:r>
      <w:r>
        <w:rPr>
          <w:rFonts w:ascii="Calibri" w:cs="Calibri" w:eastAsia="Calibri" w:hAnsi="Calibri"/>
          <w:sz w:val="21"/>
          <w:szCs w:val="21"/>
        </w:rPr>
        <w:t xml:space="preserve"> quando l'azienda cliente usa la propria chiave del fornitore di AI, il rapporto contrattuale con quel fornitore è dell'azienda cliente; Projexa si limita a inoltrare la richiesta.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Trascrizione e AI locale:</w:t>
      </w:r>
      <w:r>
        <w:rPr>
          <w:rFonts w:ascii="Calibri" w:cs="Calibri" w:eastAsia="Calibri" w:hAnsi="Calibri"/>
          <w:sz w:val="21"/>
          <w:szCs w:val="21"/>
        </w:rPr>
        <w:t xml:space="preserve"> la trascrizione (Whisper) e il «Recap Projexa (lento)» (Ollama) girano sul server Oracle in Italia: nessun fornitore esterno riceve l'audio.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Cosa fare per ogni fornitore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Scaricare e archiviare l'accordo di trattamento (in genere si accetta online nella console del fornitore) con data e versione.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Verificare la regione dei dati nella console (Oracle: Milano; Neon: eu-central-1; database di audit: [regione]).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Per i fornitori USA: verificare l'adesione al Data Privacy Framework (dataprivacyframework.gov) o la presenza delle Clausole contrattuali standard.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Comunicare alle aziende clienti l'elenco dei sub-responsabili e ogni nuovo fornitore prima di usarlo (art. 28.2).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Rivedere l'elenco a ogni nuovo servizio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Sub-responsabili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Sub-responsabili</dc:title>
  <dc:creator>Projexa</dc:creator>
  <cp:lastModifiedBy>Un-named</cp:lastModifiedBy>
  <cp:revision>1</cp:revision>
  <dcterms:created xsi:type="dcterms:W3CDTF">2026-10-17T19:56:34.951Z</dcterms:created>
  <dcterms:modified xsi:type="dcterms:W3CDTF">2026-10-17T19:56:34.951Z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