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2.2</w:t>
      </w:r>
    </w:p>
    <w:p>
      <w:pPr>
        <w:spacing w:after="40"/>
        <w:jc w:val="center"/>
      </w:pPr>
      <w:r>
        <w:rPr>
          <w:color w:val="6B7280"/>
          <w:sz w:val="22"/>
          <w:szCs w:val="22"/>
        </w:rPr>
        <w:t xml:space="preserve">Aggiornato al 29/09/2026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pStyle w:val="ListParagraph"/>
        <w:numPr>
          <w:ilvl w:val="0"/>
          <w:numId w:val="3"/>
        </w:numPr>
        <w:spacing w:after="60"/>
      </w:pPr>
      <w:r>
        <w:rPr>
          <w:b w:val="false"/>
          <w:bCs w:val="false"/>
        </w:rPr>
        <w:t xml:space="preserve">Il tuo </w:t>
      </w:r>
      <w:r>
        <w:rPr>
          <w:b/>
          <w:bCs/>
        </w:rPr>
        <w:t xml:space="preserve">microfono</w:t>
      </w:r>
      <w:r>
        <w:rPr>
          <w:b w:val="false"/>
          <w:bCs w:val="false"/>
        </w:rPr>
        <w:t xml:space="preserve"> viene aggiunto automaticamente. Con l’icona </w:t>
      </w:r>
      <w:r>
        <w:rPr>
          <w:b/>
          <w:bCs/>
        </w:rPr>
        <w:t xml:space="preserve">ingranaggio</w:t>
      </w:r>
      <w:r>
        <w:rPr>
          <w:b w:val="false"/>
          <w:bCs w:val="false"/>
        </w:rPr>
        <w:t xml:space="preserve"> puoi scegliere quali dispositivi audio usare.</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sezione </w:t>
      </w:r>
      <w:r>
        <w:rPr>
          <w:b/>
          <w:bCs/>
        </w:rPr>
        <w:t xml:space="preserve">Clienti</w:t>
      </w:r>
      <w:r>
        <w:rPr>
          <w:b w:val="false"/>
          <w:bCs w:val="false"/>
        </w:rPr>
        <w:t xml:space="preserve"> raccoglie l’anagrafica. Puoi consultare l’elenco, cercare un cliente e aprirne il dettaglio.</w:t>
      </w:r>
    </w:p>
    <w:p>
      <w:pPr>
        <w:pStyle w:val="Heading2"/>
        <w:spacing w:after="100" w:before="200"/>
      </w:pPr>
      <w:r>
        <w:t xml:space="preserve">Consultare e modificare</w:t>
      </w:r>
    </w:p>
    <w:p>
      <w:pPr>
        <w:spacing w:after="120"/>
      </w:pPr>
      <w:r>
        <w:rPr>
          <w:b w:val="false"/>
          <w:bCs w:val="false"/>
        </w:rPr>
        <w:t xml:space="preserve">Nel dettaglio vedi i campi del cliente. Per modificarli attiva l’interruttore </w:t>
      </w:r>
      <w:r>
        <w:rPr>
          <w:b/>
          <w:bCs/>
        </w:rPr>
        <w:t xml:space="preserve">Abilita modifica</w:t>
      </w:r>
      <w:r>
        <w:rPr>
          <w:b w:val="false"/>
          <w:bCs w:val="false"/>
        </w:rPr>
        <w:t xml:space="preserve"> in alto; senza di esso i campi sono in sola lettura. I campi che puoi aggiungere tu sono contrassegnati con </w:t>
      </w:r>
      <w:r>
        <w:rPr>
          <w:b/>
          <w:bCs/>
        </w:rPr>
        <w:t xml:space="preserve">(*)</w:t>
      </w:r>
      <w:r>
        <w:rPr>
          <w:b w:val="false"/>
          <w:bCs w:val="false"/>
        </w:rPr>
        <w:t xml:space="preserve">.</w:t>
      </w:r>
    </w:p>
    <w:p>
      <w:pPr>
        <w:pStyle w:val="Heading2"/>
        <w:spacing w:after="100" w:before="200"/>
      </w:pPr>
      <w:r>
        <w:t xml:space="preserve">Condivisione dei clienti</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 Vedi solo i clienti di cui sei proprietario o che ti sono stati condivisi.</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sezione </w:t>
      </w:r>
      <w:r>
        <w:rPr>
          <w:b/>
          <w:bCs/>
        </w:rPr>
        <w:t xml:space="preserve">Progetti clienti</w:t>
      </w:r>
      <w:r>
        <w:rPr>
          <w:b w:val="false"/>
          <w:bCs w:val="false"/>
        </w:rPr>
        <w:t xml:space="preserve"> elenca i progetti. Aprendo un progetto vedi i suoi campi, i componenti e gli strumenti di pianificazione.</w:t>
      </w:r>
    </w:p>
    <w:p>
      <w:pPr>
        <w:pStyle w:val="Heading2"/>
        <w:spacing w:after="100" w:before="200"/>
      </w:pPr>
      <w:r>
        <w:t xml:space="preserve">Gantt e componenti</w:t>
      </w:r>
    </w:p>
    <w:p>
      <w:pPr>
        <w:spacing w:after="120"/>
      </w:pPr>
      <w:r>
        <w:rPr>
          <w:b w:val="false"/>
          <w:bCs w:val="false"/>
        </w:rPr>
        <w:t xml:space="preserve">Il </w:t>
      </w:r>
      <w:r>
        <w:rPr>
          <w:b/>
          <w:bCs/>
        </w:rPr>
        <w:t xml:space="preserve">Gantt</w:t>
      </w:r>
      <w:r>
        <w:rPr>
          <w:b w:val="false"/>
          <w:bCs w:val="false"/>
        </w:rPr>
        <w:t xml:space="preserve"> mostra le attività del progetto nel tempo; puoi consultarlo e, se abilitato, aggiornarlo. Le sezioni del progetto raccolgono componenti, worker, quotazioni e dati di fatturazione a seconda della configurazione.</w:t>
      </w:r>
    </w:p>
    <w:p>
      <w:pPr>
        <w:pStyle w:val="Heading2"/>
        <w:spacing w:after="100" w:before="200"/>
      </w:pPr>
      <w:r>
        <w:t xml:space="preserve">Chiudere e riaprire un progetto</w:t>
      </w:r>
    </w:p>
    <w:p>
      <w:pPr>
        <w:spacing w:after="120"/>
      </w:pPr>
      <w:r>
        <w:rPr>
          <w:b w:val="false"/>
          <w:bCs w:val="false"/>
        </w:rPr>
        <w:t xml:space="preserve">Dal dettaglio puoi </w:t>
      </w:r>
      <w:r>
        <w:rPr>
          <w:b/>
          <w:bCs/>
        </w:rPr>
        <w:t xml:space="preserve">Chiudere</w:t>
      </w:r>
      <w:r>
        <w:rPr>
          <w:b w:val="false"/>
          <w:bCs w:val="false"/>
        </w:rPr>
        <w:t xml:space="preserve"> un progetto quando è concluso; se serve puoi </w:t>
      </w:r>
      <w:r>
        <w:rPr>
          <w:b/>
          <w:bCs/>
        </w:rPr>
        <w:t xml:space="preserve">Riaprirlo</w:t>
      </w:r>
      <w:r>
        <w:rPr>
          <w:b w:val="false"/>
          <w:bCs w:val="false"/>
        </w:rPr>
        <w:t xml:space="preserve">. La chiusura aggiorna lo stato e le date secondo le regole configurate.</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Puoi filtrare per cliente, creare una nuova segnalazione, modificarne una esistente ed eliminarla.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w:t>
      </w:r>
      <w:r>
        <w:rPr>
          <w:b/>
          <w:bCs/>
        </w:rPr>
        <w:t xml:space="preserve">Jira</w:t>
      </w:r>
      <w:r>
        <w:rPr>
          <w:b w:val="false"/>
          <w:bCs w:val="false"/>
        </w:rPr>
        <w:t xml:space="preserve">, puoi collegarlo per portare in Projexa attività e quotazioni.</w:t>
      </w:r>
    </w:p>
    <w:p>
      <w:pPr>
        <w:pStyle w:val="ListParagraph"/>
        <w:numPr>
          <w:ilvl w:val="0"/>
          <w:numId w:val="3"/>
        </w:numPr>
        <w:spacing w:after="60"/>
      </w:pPr>
      <w:r>
        <w:rPr>
          <w:b w:val="false"/>
          <w:bCs w:val="false"/>
        </w:rPr>
        <w:t xml:space="preserve">Vai nella sezione </w:t>
      </w:r>
      <w:r>
        <w:rPr>
          <w:b/>
          <w:bCs/>
        </w:rPr>
        <w:t xml:space="preserve">Jira</w:t>
      </w:r>
      <w:r>
        <w:rPr>
          <w:b w:val="false"/>
          <w:bCs w:val="false"/>
        </w:rPr>
        <w:t xml:space="preserve"> del menu.</w:t>
      </w:r>
    </w:p>
    <w:p>
      <w:pPr>
        <w:pStyle w:val="ListParagraph"/>
        <w:numPr>
          <w:ilvl w:val="0"/>
          <w:numId w:val="3"/>
        </w:numPr>
        <w:spacing w:after="60"/>
      </w:pPr>
      <w:r>
        <w:rPr>
          <w:b w:val="false"/>
          <w:bCs w:val="false"/>
        </w:rPr>
        <w:t xml:space="preserve">Premi </w:t>
      </w:r>
      <w:r>
        <w:rPr>
          <w:b/>
          <w:bCs/>
        </w:rPr>
        <w:t xml:space="preserve">Collega</w:t>
      </w:r>
      <w:r>
        <w:rPr>
          <w:b w:val="false"/>
          <w:bCs w:val="false"/>
        </w:rPr>
        <w:t xml:space="preserve"> e autorizza Projexa sul tuo account Atlassian.</w:t>
      </w:r>
    </w:p>
    <w:p>
      <w:pPr>
        <w:pStyle w:val="ListParagraph"/>
        <w:numPr>
          <w:ilvl w:val="0"/>
          <w:numId w:val="3"/>
        </w:numPr>
        <w:spacing w:after="60"/>
      </w:pPr>
      <w:r>
        <w:rPr>
          <w:b w:val="false"/>
          <w:bCs w:val="false"/>
        </w:rPr>
        <w:t xml:space="preserve">Scegli i </w:t>
      </w:r>
      <w:r>
        <w:rPr>
          <w:b/>
          <w:bCs/>
        </w:rPr>
        <w:t xml:space="preserve">filtri</w:t>
      </w:r>
      <w:r>
        <w:rPr>
          <w:b w:val="false"/>
          <w:bCs w:val="false"/>
        </w:rPr>
        <w:t xml:space="preserve"> Jira da usare e avvia la ricerca/sincronizzazione.</w:t>
      </w:r>
    </w:p>
    <w:p>
      <w:pPr>
        <w:pBdr>
          <w:left w:val="single" w:color="059669" w:sz="18" w:space="12"/>
        </w:pBdr>
        <w:spacing w:after="140" w:before="80"/>
        <w:ind w:left="240"/>
      </w:pPr>
      <w:r>
        <w:rPr>
          <w:b/>
          <w:bCs/>
          <w:color w:val="059669"/>
        </w:rPr>
        <w:t xml:space="preserve">Nota — </w:t>
      </w:r>
      <w:r>
        <w:rPr>
          <w:b w:val="false"/>
          <w:bCs w:val="false"/>
        </w:rPr>
        <w:t xml:space="preserve">Il collegamento usa la tua utenza Jira; puoi scollegarlo in qualsiasi momento.</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permette di importare le ore delle attività da un file </w:t>
      </w:r>
      <w:r>
        <w:rPr>
          <w:b/>
          <w:bCs/>
        </w:rPr>
        <w:t xml:space="preserve">Excel</w:t>
      </w:r>
      <w:r>
        <w:rPr>
          <w:b w:val="false"/>
          <w:bCs w:val="false"/>
        </w:rPr>
        <w:t xml:space="preserve">. Il file viene letto nel browser; segui le indicazioni a schermo per caricare i dati nel progetto.</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a comparsa. Per modificare i valori attiva </w:t>
      </w:r>
      <w:r>
        <w:rPr>
          <w:b/>
          <w:bCs/>
        </w:rPr>
        <w:t xml:space="preserve">Abilita modifica</w:t>
      </w:r>
      <w:r>
        <w:rPr>
          <w:b w:val="false"/>
          <w:bCs w:val="false"/>
        </w:rPr>
        <w:t xml:space="preserve">. Le sezioni disponibili dipendono dalla configurazione del tuo tenant e dal tuo ruolo; le più comuni sono:</w:t>
      </w:r>
    </w:p>
    <w:p>
      <w:pPr>
        <w:pStyle w:val="Heading2"/>
        <w:spacing w:after="100" w:before="200"/>
      </w:pPr>
      <w:r>
        <w:t xml:space="preserve">Profilo</w:t>
      </w:r>
    </w:p>
    <w:p>
      <w:pPr>
        <w:spacing w:after="120"/>
      </w:pPr>
      <w:r>
        <w:rPr>
          <w:b w:val="false"/>
          <w:bCs w:val="false"/>
        </w:rPr>
        <w:t xml:space="preserve">I tuoi dati personali (nome, cognome, ecc.).</w:t>
      </w:r>
    </w:p>
    <w:p>
      <w:pPr>
        <w:pStyle w:val="Heading2"/>
        <w:spacing w:after="100" w:before="200"/>
      </w:pPr>
      <w:r>
        <w:t xml:space="preserve">Preferenze</w:t>
      </w:r>
    </w:p>
    <w:p>
      <w:pPr>
        <w:spacing w:after="120"/>
      </w:pPr>
      <w:r>
        <w:rPr>
          <w:b w:val="false"/>
          <w:bCs w:val="false"/>
        </w:rPr>
        <w:t xml:space="preserve">Preferenze d’uso dell’applicazione, come la scala dello schermo e altre opzioni di visualizzazione.</w:t>
      </w:r>
    </w:p>
    <w:p>
      <w:pPr>
        <w:spacing w:after="120"/>
      </w:pPr>
      <w:r>
        <w:rPr>
          <w:b w:val="false"/>
          <w:bCs w:val="false"/>
        </w:rPr>
        <w:t xml:space="preserve">Da qui scegli anche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Chat-Bot Projexa</w:t>
      </w:r>
      <w:r>
        <w:rPr>
          <w:b w:val="false"/>
          <w:bCs w:val="false"/>
        </w:rPr>
        <w:t xml:space="preserve"> e </w:t>
      </w:r>
      <w:r>
        <w:rPr>
          <w:b/>
          <w:bCs/>
        </w:rPr>
        <w:t xml:space="preserve">Mostra Reporting</w:t>
      </w:r>
      <w:r>
        <w:rPr>
          <w:b w:val="false"/>
          <w:bCs w:val="false"/>
        </w:rPr>
        <w:t xml:space="preserve"> (il modulo del capitolo 15). Dopo </w:t>
      </w:r>
      <w:r>
        <w:rPr>
          <w:b/>
          <w:bCs/>
        </w:rPr>
        <w:t xml:space="preserve">Salva</w:t>
      </w:r>
      <w:r>
        <w:rPr>
          <w:b w:val="false"/>
          <w:bCs w:val="false"/>
        </w:rPr>
        <w:t xml:space="preserve"> la pagina si ricarica e la modifica è subito visibile.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w:t>
      </w:r>
      <w:r>
        <w:rPr>
          <w:b/>
          <w:bCs/>
        </w:rPr>
        <w:t xml:space="preserve">Collega</w:t>
      </w:r>
      <w:r>
        <w:rPr>
          <w:b w:val="false"/>
          <w:bCs w:val="false"/>
        </w:rPr>
        <w:t xml:space="preserve"> (accesso dedicato).</w:t>
      </w:r>
    </w:p>
    <w:p>
      <w:pPr>
        <w:pStyle w:val="ListParagraph"/>
        <w:numPr>
          <w:ilvl w:val="0"/>
          <w:numId w:val="2"/>
        </w:numPr>
        <w:spacing w:after="60"/>
      </w:pP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scegli quale calendario mostrare all’ingresso; questa scelta determina anche su quale servizio si apre l’email del recap.</w:t>
      </w:r>
    </w:p>
    <w:p>
      <w:pPr>
        <w:pStyle w:val="Heading2"/>
        <w:spacing w:after="100" w:before="200"/>
      </w:pPr>
      <w:r>
        <w:t xml:space="preserve">AI Intelligenza Artificiale</w:t>
      </w:r>
    </w:p>
    <w:p>
      <w:pPr>
        <w:spacing w:after="120"/>
      </w:pPr>
      <w:r>
        <w:rPr>
          <w:b w:val="false"/>
          <w:bCs w:val="false"/>
        </w:rPr>
        <w:t xml:space="preserve">Qui gestisci tutto ciò che riguarda l’AI:</w:t>
      </w:r>
    </w:p>
    <w:p>
      <w:pPr>
        <w:pStyle w:val="ListParagraph"/>
        <w:numPr>
          <w:ilvl w:val="0"/>
          <w:numId w:val="2"/>
        </w:numPr>
        <w:spacing w:after="60"/>
      </w:pPr>
      <w:r>
        <w:rPr>
          <w:b/>
          <w:bCs/>
        </w:rPr>
        <w:t xml:space="preserve">ChatGPT, Claude, Gemini, Mistral</w:t>
      </w:r>
      <w:r>
        <w:rPr>
          <w:b w:val="false"/>
          <w:bCs w:val="false"/>
        </w:rPr>
        <w:t xml:space="preserve"> — collega la </w:t>
      </w:r>
      <w:r>
        <w:rPr>
          <w:b/>
          <w:bCs/>
        </w:rPr>
        <w:t xml:space="preserve">chiave API</w:t>
      </w:r>
      <w:r>
        <w:rPr>
          <w:b w:val="false"/>
          <w:bCs w:val="false"/>
        </w:rPr>
        <w:t xml:space="preserve"> di ciascun servizio per attivare l’assistente corrispondente. La chiave dev’essere </w:t>
      </w:r>
      <w:r>
        <w:rPr>
          <w:b/>
          <w:bCs/>
        </w:rPr>
        <w:t xml:space="preserve">a consumo</w:t>
      </w:r>
      <w:r>
        <w:rPr>
          <w:b w:val="false"/>
          <w:bCs w:val="false"/>
        </w:rPr>
        <w:t xml:space="preserve"> e con </w:t>
      </w:r>
      <w:r>
        <w:rPr>
          <w:b/>
          <w:bCs/>
        </w:rPr>
        <w:t xml:space="preserve">credito attivo</w:t>
      </w:r>
      <w:r>
        <w:rPr>
          <w:b w:val="false"/>
          <w:bCs w:val="false"/>
        </w:rPr>
        <w:t xml:space="preserve"> sul fornitore (vedi il capitolo Assistenti AI).</w:t>
      </w:r>
    </w:p>
    <w:p>
      <w:pPr>
        <w:pStyle w:val="ListParagraph"/>
        <w:numPr>
          <w:ilvl w:val="0"/>
          <w:numId w:val="2"/>
        </w:numPr>
        <w:spacing w:after="60"/>
      </w:pPr>
      <w:r>
        <w:rPr>
          <w:b/>
          <w:bCs/>
        </w:rPr>
        <w:t xml:space="preserve">AI generazione e-mail recap</w:t>
      </w:r>
      <w:r>
        <w:rPr>
          <w:b w:val="false"/>
          <w:bCs w:val="false"/>
        </w:rPr>
        <w:t xml:space="preserve"> — scegli quale AI genera il recap delle riunioni: una delle AI esterne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scegli il motore di trascrizione, sempre sul server: </w:t>
      </w:r>
      <w:r>
        <w:rPr>
          <w:b/>
          <w:bCs/>
        </w:rPr>
        <w:t xml:space="preserve">Background</w:t>
      </w:r>
      <w:r>
        <w:rPr>
          <w:b w:val="false"/>
          <w:bCs w:val="false"/>
        </w:rPr>
        <w:t xml:space="preserve"> o </w:t>
      </w:r>
      <w:r>
        <w:rPr>
          <w:b/>
          <w:bCs/>
        </w:rPr>
        <w:t xml:space="preserve">Background-Veloce</w:t>
      </w:r>
      <w:r>
        <w:rPr>
          <w:b w:val="false"/>
          <w:bCs w:val="false"/>
        </w:rPr>
        <w:t xml:space="preserve"> (vedi capitolo Riunioni).</w:t>
      </w:r>
    </w:p>
    <w:p>
      <w:pPr>
        <w:pStyle w:val="Heading2"/>
        <w:spacing w:after="100" w:before="200"/>
      </w:pPr>
      <w:r>
        <w:t xml:space="preserve">Correzioni Termini AI</w:t>
      </w:r>
    </w:p>
    <w:p>
      <w:pPr>
        <w:spacing w:after="120"/>
      </w:pPr>
      <w:r>
        <w:rPr>
          <w:b w:val="false"/>
          <w:bCs w:val="false"/>
        </w:rPr>
        <w:t xml:space="preserve">La tabella delle parole che la trascrizione sbaglia spesso, con la parola corretta ed eventualmente il cliente a cui si riferiscono. Come funziona è spiegato nel capitolo 4, “Correzioni automatiche delle parole”.</w:t>
      </w:r>
    </w:p>
    <w:p>
      <w:pPr>
        <w:pStyle w:val="Heading2"/>
        <w:spacing w:after="100" w:before="200"/>
      </w:pPr>
      <w:r>
        <w:t xml:space="preserve">Integrazioni</w:t>
      </w:r>
    </w:p>
    <w:p>
      <w:pPr>
        <w:spacing w:after="120"/>
      </w:pPr>
      <w:r>
        <w:rPr>
          <w:b w:val="false"/>
          <w:bCs w:val="false"/>
        </w:rPr>
        <w:t xml:space="preserve">Le connessioni verso servizi esterni collegati al tuo account.</w:t>
      </w:r>
    </w:p>
    <w:p>
      <w:pPr>
        <w:pStyle w:val="Heading2"/>
        <w:spacing w:after="100" w:before="200"/>
      </w:pPr>
      <w:r>
        <w:t xml:space="preserve">Accesso e Sicurezza</w:t>
      </w:r>
    </w:p>
    <w:p>
      <w:pPr>
        <w:spacing w:after="120"/>
      </w:pPr>
      <w:r>
        <w:rPr>
          <w:b w:val="false"/>
          <w:bCs w:val="false"/>
        </w:rPr>
        <w:t xml:space="preserve">Da qui puoi </w:t>
      </w:r>
      <w:r>
        <w:rPr>
          <w:b/>
          <w:bCs/>
        </w:rPr>
        <w:t xml:space="preserve">cambiare la password</w:t>
      </w:r>
      <w:r>
        <w:rPr>
          <w:b w:val="false"/>
          <w:bCs w:val="false"/>
        </w:rPr>
        <w:t xml:space="preserve"> del tuo account.</w:t>
      </w:r>
    </w:p>
    <w:p>
      <w:pPr>
        <w:pStyle w:val="Heading2"/>
        <w:spacing w:after="100" w:before="200"/>
      </w:pPr>
      <w:r>
        <w:t xml:space="preserve">Repository e Informazioni</w:t>
      </w:r>
    </w:p>
    <w:p>
      <w:pPr>
        <w:spacing w:after="120"/>
      </w:pPr>
      <w:r>
        <w:rPr>
          <w:b w:val="false"/>
          <w:bCs w:val="false"/>
        </w:rPr>
        <w:t xml:space="preserve">Impostazioni aggiuntive e informazioni sull’applicazione, secondo la configurazione del tuo tenant.</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3"/>
        </w:numPr>
        <w:spacing w:after="60"/>
      </w:pPr>
      <w:r>
        <w:rPr>
          <w:b w:val="false"/>
          <w:bCs w:val="false"/>
        </w:rPr>
        <w:t xml:space="preserve">Apri la sezione (Impostazioni, un cliente o un progetto) e attiva </w:t>
      </w:r>
      <w:r>
        <w:rPr>
          <w:b/>
          <w:bCs/>
        </w:rPr>
        <w:t xml:space="preserve">Abilita modifica</w:t>
      </w:r>
      <w:r>
        <w:rPr>
          <w:b w:val="false"/>
          <w:bCs w:val="false"/>
        </w:rPr>
        <w:t xml:space="preserve">.</w:t>
      </w:r>
    </w:p>
    <w:p>
      <w:pPr>
        <w:pStyle w:val="ListParagraph"/>
        <w:numPr>
          <w:ilvl w:val="0"/>
          <w:numId w:val="3"/>
        </w:numPr>
        <w:spacing w:after="60"/>
      </w:pPr>
      <w:r>
        <w:rPr>
          <w:b w:val="false"/>
          <w:bCs w:val="false"/>
        </w:rPr>
        <w:t xml:space="preserve">Usa il comando per </w:t>
      </w:r>
      <w:r>
        <w:rPr>
          <w:b/>
          <w:bCs/>
        </w:rPr>
        <w:t xml:space="preserve">aggiungere</w:t>
      </w:r>
      <w:r>
        <w:rPr>
          <w:b w:val="false"/>
          <w:bCs w:val="false"/>
        </w:rPr>
        <w:t xml:space="preserve"> un campo (il pulsante “+” o “Aggiungi campo”).</w:t>
      </w:r>
    </w:p>
    <w:p>
      <w:pPr>
        <w:pStyle w:val="ListParagraph"/>
        <w:numPr>
          <w:ilvl w:val="0"/>
          <w:numId w:val="3"/>
        </w:numPr>
        <w:spacing w:after="60"/>
      </w:pPr>
      <w:r>
        <w:rPr>
          <w:b w:val="false"/>
          <w:bCs w:val="false"/>
        </w:rPr>
        <w:t xml:space="preserve">Dai un </w:t>
      </w:r>
      <w:r>
        <w:rPr>
          <w:b/>
          <w:bCs/>
        </w:rPr>
        <w:t xml:space="preserve">nome</w:t>
      </w:r>
      <w:r>
        <w:rPr>
          <w:b w:val="false"/>
          <w:bCs w:val="false"/>
        </w:rPr>
        <w:t xml:space="preserve"> al campo e scegli il </w:t>
      </w:r>
      <w:r>
        <w:rPr>
          <w:b/>
          <w:bCs/>
        </w:rPr>
        <w:t xml:space="preserve">tipo</w:t>
      </w:r>
      <w:r>
        <w:rPr>
          <w:b w:val="false"/>
          <w:bCs w:val="false"/>
        </w:rPr>
        <w:t xml:space="preserve"> (vedi tabella sotto).</w:t>
      </w:r>
    </w:p>
    <w:p>
      <w:pPr>
        <w:pStyle w:val="ListParagraph"/>
        <w:numPr>
          <w:ilvl w:val="0"/>
          <w:numId w:val="3"/>
        </w:numPr>
        <w:spacing w:after="60"/>
      </w:pPr>
      <w:r>
        <w:rPr>
          <w:b w:val="false"/>
          <w:bCs w:val="false"/>
        </w:rPr>
        <w:t xml:space="preserve">Se il tipo lo prevede, imposta le opzioni (es. le voci di un elenco) e salva.</w:t>
      </w:r>
    </w:p>
    <w:p>
      <w:pPr>
        <w:spacing w:after="120"/>
      </w:pPr>
      <w:r>
        <w:rPr>
          <w:b w:val="false"/>
          <w:bCs w:val="false"/>
        </w:rPr>
        <w:t xml:space="preserve">Puoi anche scegliere la </w:t>
      </w:r>
      <w:r>
        <w:rPr>
          <w:b/>
          <w:bCs/>
        </w:rPr>
        <w:t xml:space="preserve">visibilità per ruolo</w:t>
      </w:r>
      <w:r>
        <w:rPr>
          <w:b w:val="false"/>
          <w:bCs w:val="false"/>
        </w:rPr>
        <w:t xml:space="preserve"> del campo e, per alcuni tipi, propagarlo a tutti i contenitori o (se sei admin) a tutti i tenant.</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di filtrarli, salvarli come report riutilizzabili e scaricarli in </w:t>
      </w:r>
      <w:r>
        <w:rPr>
          <w:b/>
          <w:bCs/>
        </w:rPr>
        <w:t xml:space="preserve">Excel</w:t>
      </w:r>
      <w:r>
        <w:rPr>
          <w:b w:val="false"/>
          <w:bCs w:val="false"/>
        </w:rPr>
        <w:t xml:space="preserve"> o </w:t>
      </w:r>
      <w:r>
        <w:rPr>
          <w:b/>
          <w:bCs/>
        </w:rPr>
        <w:t xml:space="preserve">CSV</w:t>
      </w:r>
      <w:r>
        <w:rPr>
          <w:b w:val="false"/>
          <w:bCs w:val="false"/>
        </w:rPr>
        <w:t xml:space="preserve">.</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spacing w:before="400"/>
        <w:jc w:val="center"/>
      </w:pPr>
      <w:r>
        <w:rPr>
          <w:color w:val="6B7280"/>
          <w:sz w:val="20"/>
          <w:szCs w:val="20"/>
        </w:rPr>
        <w:t xml:space="preserve">© Projexa — Manuale Utente v2.2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