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o del progetto ha il valore atteso. Un campo sì/no non compilato vale “no”. Se la condizione è sulla fase, la fase non compare insieme a tutte le sue attività. Dopo aver cambiato il campo (es. Pubblica Amministrazione del cliente) premi </w:t>
      </w:r>
      <w:r>
        <w:rPr>
          <w:b/>
          <w:bCs/>
        </w:rPr>
        <w:t xml:space="preserve">Aggiorna</w:t>
      </w:r>
      <w:r>
        <w:rPr>
          <w:b w:val="false"/>
          <w:bCs w:val="false"/>
        </w:rPr>
        <w:t xml:space="preserve"> per riallineare la check list.</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w:t>
      </w:r>
      <w:r>
        <w:rPr>
          <w:b w:val="false"/>
          <w:bCs w:val="false"/>
        </w:rPr>
        <w:t xml:space="preserve">: riallinea la check list alla configurazione e alle licenze attuali del progetto: aggiunge le voci nuove, aggiorna testi e numerazione, toglie le voci non più previste. Check e date non vengono mai cambiati, e le voci già spuntate restano anche se non più previste.</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