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PROJEXA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DPIA — Trascrizioni e AI</w:t>
      </w:r>
    </w:p>
    <w:p>
      <w:pPr>
        <w:pBdr>
          <w:bottom w:val="single" w:color="312E81" w:sz="12" w:space="8"/>
        </w:pBdr>
        <w:spacing w:after="6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Valutazione d'impatto (art. 35 GDPR): registrazione e trascrizione delle riunioni, recap e documenti generati con l'AI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Versione del 28 ottobre 2026</w:t>
      </w:r>
    </w:p>
    <w:p>
      <w:r>
        <w:br w:type="page"/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documento predisposto come supporto operativo, non costituisce parere legale: la versione definitiva va validata dal DPO o da un consulente legale. I campi tra parentesi quadre vanno compilati con i dati reali del titolare. Aggiornato allo stato tecnico della piattaforma al 17 ottobre 2026 (vedi «Projexa – Architettura e sicurezza»).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1. Descrizione del trattamento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Il Project Manager avvia la registrazione di una riunione dal browser, dopo aver informato i partecipanti («Avviso ai partecipanti»). L'audio viene inviato a blocchi al server di Projexa, trascritto localmente e cancellato. Per le frasi degli altri partecipanti il server calcola anche un'impronta vocale numerica, usata solo per distinguere le voci all'interno della stessa riunione («Partecipante 1, 2…», dal 28 ottobre 2026): non identifica le persone, non viene confrontata con altre riunioni ed è cancellata entro 48 ore. Dalla trascrizione Projexa ricava recap, azioni e documenti di progetto, con un modello di AI locale o con il fornitore scelto dall'utente.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144"/>
        <w:gridCol w:w="3374"/>
      </w:tblGrid>
      <w:tr>
        <w:trPr>
          <w:tblHeader/>
        </w:trPr>
        <w:tc>
          <w:tcPr>
            <w:tcW w:type="dxa" w:w="212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Fase</w:t>
            </w:r>
          </w:p>
        </w:tc>
        <w:tc>
          <w:tcPr>
            <w:tcW w:type="dxa" w:w="4144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Dove avviene</w:t>
            </w:r>
          </w:p>
        </w:tc>
        <w:tc>
          <w:tcPr>
            <w:tcW w:type="dxa" w:w="3374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Dati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Registrazione</w:t>
            </w:r>
          </w:p>
        </w:tc>
        <w:tc>
          <w:tcPr>
            <w:tcW w:type="dxa" w:w="41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Browser dell'utente</w:t>
            </w:r>
          </w:p>
        </w:tc>
        <w:tc>
          <w:tcPr>
            <w:tcW w:type="dxa" w:w="3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della riunione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Trascrizione</w:t>
            </w:r>
          </w:p>
        </w:tc>
        <w:tc>
          <w:tcPr>
            <w:tcW w:type="dxa" w:w="41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Projexa (Oracle Cloud, Milano), modelli Whisper locali</w:t>
            </w:r>
          </w:p>
        </w:tc>
        <w:tc>
          <w:tcPr>
            <w:tcW w:type="dxa" w:w="3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→ testo; audio cancellato dopo la trascrizione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Distinzione delle voci</w:t>
            </w:r>
          </w:p>
        </w:tc>
        <w:tc>
          <w:tcPr>
            <w:tcW w:type="dxa" w:w="41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Projexa (Oracle Cloud, Milano), modello locale</w:t>
            </w:r>
          </w:p>
        </w:tc>
        <w:tc>
          <w:tcPr>
            <w:tcW w:type="dxa" w:w="3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Impronte vocali numeriche delle frasi degli altri partecipanti, cifrate; etichette «Partecipante N» senza nomi; cancellate entro 48 ore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Recap / documenti</w:t>
            </w:r>
          </w:p>
        </w:tc>
        <w:tc>
          <w:tcPr>
            <w:tcW w:type="dxa" w:w="41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Modello locale (Ollama) oppure fornitore scelto (OpenAI, Anthropic, Google, Mistral)</w:t>
            </w:r>
          </w:p>
        </w:tc>
        <w:tc>
          <w:tcPr>
            <w:tcW w:type="dxa" w:w="3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Testo necessario, pseudonimizzato (segnaposto al posto di nomi, recapiti e codici)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Assistente PM (facoltativo)</w:t>
            </w:r>
          </w:p>
        </w:tc>
        <w:tc>
          <w:tcPr>
            <w:tcW w:type="dxa" w:w="41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 Gemini in tempo reale</w:t>
            </w:r>
          </w:p>
        </w:tc>
        <w:tc>
          <w:tcPr>
            <w:tcW w:type="dxa" w:w="3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(non anonimizzabile) o testo pseudonimizzato della riunione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Condivisione tra colleghi</w:t>
            </w:r>
          </w:p>
        </w:tc>
        <w:tc>
          <w:tcPr>
            <w:tcW w:type="dxa" w:w="41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Projexa</w:t>
            </w:r>
          </w:p>
        </w:tc>
        <w:tc>
          <w:tcPr>
            <w:tcW w:type="dxa" w:w="3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Trascrizione copiata solo a chi ha la stessa riunione nel proprio calendario collegato</w:t>
            </w:r>
          </w:p>
        </w:tc>
      </w:tr>
      <w:t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Archiviazione</w:t>
            </w:r>
          </w:p>
        </w:tc>
        <w:tc>
          <w:tcPr>
            <w:tcW w:type="dxa" w:w="41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 Projexa, campi cifrati</w:t>
            </w:r>
          </w:p>
        </w:tc>
        <w:tc>
          <w:tcPr>
            <w:tcW w:type="dxa" w:w="33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Trascrizione, recap, azioni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Interessati:</w:t>
      </w:r>
      <w:r>
        <w:rPr>
          <w:rFonts w:ascii="Calibri" w:cs="Calibri" w:eastAsia="Calibri" w:hAnsi="Calibri"/>
          <w:sz w:val="21"/>
          <w:szCs w:val="21"/>
        </w:rPr>
        <w:t xml:space="preserve"> dipendenti e soggetti esterni presenti alle riunioni.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Dati:</w:t>
      </w:r>
      <w:r>
        <w:rPr>
          <w:rFonts w:ascii="Calibri" w:cs="Calibri" w:eastAsia="Calibri" w:hAnsi="Calibri"/>
          <w:sz w:val="21"/>
          <w:szCs w:val="21"/>
        </w:rPr>
        <w:t xml:space="preserve"> voce e identità dei partecipanti, contenuti discussi (possibili categorie particolari incidentali), impronte vocali temporanee per distinguere i partecipanti. Le impronte non sono usate per identificare in modo univoco le persone (nessun nome, nessun archivio di voci, nessun confronto tra riunioni): secondo questa valutazione non rientrano nei dati biometrici dell'art. 9 GDPR (art. 4.14 e considerando 51), da confermare con il DPO.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Anonymization Layer (dal 22 ottobre 2026): prima di ogni invio a un'AI esterna (OpenAI, Anthropic, Google, Mistral) Projexa sostituisce i dati personali (nomi di persone e aziende, email, telefoni, IBAN, codici fiscali, partite IVA, documenti) con segnaposto anonimi, riconosciuti con i nomi già presenti in Projexa, con regole e con Microsoft Presidio + spaCy (modello italiano, sul server in Italia); i valori veri vengono rimessi solo sul server di Projexa quando arriva la risposta. Le corrispondenze restano in memoria o, per le richieste Batch, cifrate per al massimo 7 giorni. Non sono anonimizzabili immagini, PDF scansionati e audio.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2. Necessità e proporzionalità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Finalità determinata: recap e azioni di progetto.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Minimizzazione: audio non conservato; all'AI solo il testo necessario; nel Dossier Cliente niente anagrafica; prima dell'invio a un'AI esterna i dati personali sono pseudonimizzati (Anonymization Layer); impronte vocali solo numeriche, valide dentro una riunione e cancellate entro 48 ore.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Trasparenza: avviso prima della registrazione (testo standard pronto) e informativa pubblicata.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Diritti: possibilità di non essere registrati e di chiedere la cancellazione (procedura richieste interessati).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Conservazione: 24 mesi dalla data della riunione (PROPOSTA da confermare), oppure prima su richiesta o alla chiusura del rapporto.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3. Rischi e misure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964"/>
        <w:gridCol w:w="4819"/>
      </w:tblGrid>
      <w:tr>
        <w:trPr>
          <w:tblHeader/>
        </w:trPr>
        <w:tc>
          <w:tcPr>
            <w:tcW w:type="dxa" w:w="2891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Rischio</w:t>
            </w:r>
          </w:p>
        </w:tc>
        <w:tc>
          <w:tcPr>
            <w:tcW w:type="dxa" w:w="964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Prob.</w:t>
            </w:r>
          </w:p>
        </w:tc>
        <w:tc>
          <w:tcPr>
            <w:tcW w:type="dxa" w:w="964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Impatto</w:t>
            </w:r>
          </w:p>
        </w:tc>
        <w:tc>
          <w:tcPr>
            <w:tcW w:type="dxa" w:w="4819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Misure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Accesso non autorizzato a trascrizioni e recap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Accesso per utente e azienda, sessione HttpOnly con scadenza, cifratura AES-256-GCM, log di audit, condivisione solo tra partecipanti verificati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Partecipanti registrati senza saperlo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Avviso standard (a voce e nell'invito), registrazione avviata manualmente, diritto di opporsi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conservato oltre il necessario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Cancellazione automatica dopo la trascrizione e dei residui entro poche ore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Uso delle impronte vocali per riconoscere le persone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Impronte valide solo dentro una riunione, etichette numeriche senza nomi, nessun archivio di voci né confronto tra riunioni, cifratura AES-256-GCM, cancellazione automatica dopo 48 ore, nessun invio a fornitori esterni; un eventuale riconoscimento per nome richiederebbe una nuova DPIA e il consenso esplicito degli interessati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Trasferimento extra-UE presso il fornitore di AI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Trascrizione e AI locali disponibili; fornitore esterno solo per scelta; testi pseudonimizzati prima dell'invio; DPF/SCC; DPA da archiviare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Uso dei contenuti per addestrare i modelli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API con condizioni che escludono l'addestramento; vietate le chiavi gratuite di Gemini con dati personali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Identificazione degli interessati da parte del fornitore di AI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Pseudonimizzazione automatica prima di ogni invio (nomi noti di Projexa, regole, Presidio + spaCy NER italiano); corrispondenze solo sul server, cifrate per il Batch e cancellate dopo 7 giorni; possibile blocco degli invii se il riconoscimento non è disponibile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Decisioni automatizzate (art. 22)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Output rivisti dall'utente; nessun effetto automatico sulle persone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Categorie particolari incidentali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Minimizzazione, accesso ristretto, cancellazione su richiesta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4. Esito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Rischio residuo stimato: Basso, a condizione che avviso ai partecipanti, DPA dei fornitori e conservazione siano adottati. Decisione: [procedere / procedere con condizioni]. Parere del DPO: [da acquisire]. Data e firma: [...].</w:t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Consultazione preventiva: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se dopo le misure resta un rischio elevato, prima di avviare il trattamento va consultato il Garante (art. 36 GDPR).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Projexa · DPIA Trascrizioni AI · 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DPIA Trascrizioni AI</dc:title>
  <dc:creator>Projexa</dc:creator>
  <cp:lastModifiedBy>Un-named</cp:lastModifiedBy>
  <cp:revision>1</cp:revision>
  <dcterms:created xsi:type="dcterms:W3CDTF">2026-10-17T19:56:35.031Z</dcterms:created>
  <dcterms:modified xsi:type="dcterms:W3CDTF">2026-10-17T19:56:35.031Z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