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40AF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56"/>
                <w:szCs w:val="56"/>
              </w:rPr>
              <w:t xml:space="preserve">PROJEXA</w:t>
            </w:r>
          </w:p>
          <w:p>
            <w:pPr>
              <w:spacing w:after="200"/>
            </w:pPr>
            <w:r>
              <w:rPr>
                <w:rFonts w:ascii="Segoe UI" w:cs="Segoe UI" w:eastAsia="Segoe UI" w:hAnsi="Segoe UI"/>
                <w:color w:val="C7D2FE"/>
                <w:sz w:val="22"/>
                <w:szCs w:val="22"/>
              </w:rPr>
              <w:t xml:space="preserve">Conformità al GDPR (Reg. UE 2016/679)</w:t>
            </w:r>
          </w:p>
          <w:p>
            <w:pPr>
              <w:spacing w:after="16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38"/>
                <w:szCs w:val="38"/>
              </w:rPr>
              <w:t xml:space="preserve">DPIA — Trascrizioni AI</w:t>
            </w:r>
          </w:p>
        </w:tc>
      </w:tr>
    </w:tbl>
    <w:p>
      <w:pPr>
        <w:spacing w:after="180"/>
      </w:pPr>
      <w:r>
        <w:rPr>
          <w:rFonts w:ascii="Segoe UI" w:cs="Segoe UI" w:eastAsia="Segoe UI" w:hAnsi="Segoe UI"/>
        </w:rPr>
        <w:t xml:space="preserve"/>
      </w:r>
    </w:p>
    <w:p>
      <w:pPr>
        <w:spacing w:after="8"/>
      </w:pPr>
      <w:r>
        <w:rPr>
          <w:rFonts w:ascii="Segoe UI" w:cs="Segoe UI" w:eastAsia="Segoe UI" w:hAnsi="Segoe UI"/>
          <w:b/>
          <w:bCs/>
          <w:color w:val="1F2937"/>
          <w:sz w:val="23"/>
          <w:szCs w:val="23"/>
        </w:rPr>
        <w:t xml:space="preserve">Valutazione d'impatto sulla protezione dei dati (DPIA)</w:t>
      </w:r>
    </w:p>
    <w:p>
      <w:pPr>
        <w:spacing w:after="130" w:line="276"/>
      </w:pPr>
      <w:r>
        <w:rPr>
          <w:rFonts w:ascii="Segoe UI" w:cs="Segoe UI" w:eastAsia="Segoe UI" w:hAnsi="Segoe UI"/>
        </w:rPr>
        <w:t xml:space="preserve">ai sensi dell'art. 35 GDPR — trattamento: « Trascrizione riunioni e analisi AI » — versione del </w:t>
      </w:r>
      <w:r>
        <w:rPr>
          <w:rFonts w:ascii="Segoe UI" w:cs="Segoe UI" w:eastAsia="Segoe UI" w:hAnsi="Segoe UI"/>
          <w:b/>
          <w:bCs/>
          <w:color w:val="991B1B"/>
          <w:shd w:fill="FEE2E2" w:color="auto" w:val="clear"/>
        </w:rPr>
        <w:t xml:space="preserve">[DATA]</w:t>
      </w:r>
      <w:r>
        <w:rPr>
          <w:rFonts w:ascii="Segoe UI" w:cs="Segoe UI" w:eastAsia="Segoe UI" w:hAnsi="Segoe UI"/>
        </w:rPr>
        <w:t xml:space="preserve">.</w:t>
      </w:r>
    </w:p>
    <w:tbl>
      <w:tblPr>
        <w:tblW w:type="pct" w:w="100%"/>
        <w:tblBorders>
          <w:top w:val="single" w:color="FEF3C7" w:sz="4"/>
          <w:left w:val="single" w:color="B45309" w:sz="24"/>
          <w:bottom w:val="single" w:color="FEF3C7" w:sz="4"/>
          <w:right w:val="single" w:color="FEF3C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color="auto" w:val="clear"/>
            <w:tcMar>
              <w:top w:type="dxa" w:w="110"/>
              <w:left w:type="dxa" w:w="20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0"/>
                <w:szCs w:val="20"/>
              </w:rPr>
              <w:t xml:space="preserve">Avvertenza</w:t>
            </w:r>
          </w:p>
          <w:p>
            <w:pPr>
              <w:spacing w:after="0" w:line="262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Documento predisposto come supporto operativo. Non costituisce parere legale: la versione definitiva va validata dal Responsabile della Protezione dei Dati (DPO) o da un consulente legale. I campi evidenziati vanno compilati con i dati reali dell'organizzazione.</w:t>
            </w:r>
          </w:p>
        </w:tc>
      </w:tr>
    </w:tbl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1. Descrizione del trattamento</w:t>
      </w:r>
    </w:p>
    <w:p>
      <w:pPr>
        <w:spacing w:after="130" w:line="276"/>
      </w:pPr>
      <w:r>
        <w:rPr>
          <w:rFonts w:ascii="Segoe UI" w:cs="Segoe UI" w:eastAsia="Segoe UI" w:hAnsi="Segoe UI"/>
        </w:rPr>
        <w:t xml:space="preserve">La funzionalità partecipa alle riunioni online (Teams/Meet), ne genera la trascrizione, estrae automaticamente decisioni e action item e assegna un livello di criticità. Il trattamento riguarda la voce e l'identità dei partecipanti, inclusi soggetti esterni all'organizzazione.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Dati trattati: </w:t>
      </w:r>
      <w:r>
        <w:rPr>
          <w:rFonts w:ascii="Segoe UI" w:cs="Segoe UI" w:eastAsia="Segoe UI" w:hAnsi="Segoe UI"/>
        </w:rPr>
        <w:t xml:space="preserve">audio/testo delle riunioni, nomi dei partecipanti, contenuti discussi (potenziali categorie particolari incidentali).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Interessati: </w:t>
      </w:r>
      <w:r>
        <w:rPr>
          <w:rFonts w:ascii="Segoe UI" w:cs="Segoe UI" w:eastAsia="Segoe UI" w:hAnsi="Segoe UI"/>
        </w:rPr>
        <w:t xml:space="preserve">dipendenti e soggetti terzi partecipanti alle riunioni.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Flusso: </w:t>
      </w:r>
      <w:r>
        <w:rPr>
          <w:rFonts w:ascii="Segoe UI" w:cs="Segoe UI" w:eastAsia="Segoe UI" w:hAnsi="Segoe UI"/>
        </w:rPr>
        <w:t xml:space="preserve">acquisizione → elaborazione/AI presso </w:t>
      </w:r>
      <w:r>
        <w:rPr>
          <w:rFonts w:ascii="Segoe UI" w:cs="Segoe UI" w:eastAsia="Segoe UI" w:hAnsi="Segoe UI"/>
          <w:b/>
          <w:bCs/>
          <w:color w:val="991B1B"/>
          <w:shd w:fill="FEE2E2" w:color="auto" w:val="clear"/>
        </w:rPr>
        <w:t xml:space="preserve">[fornitore]</w:t>
      </w:r>
      <w:r>
        <w:rPr>
          <w:rFonts w:ascii="Segoe UI" w:cs="Segoe UI" w:eastAsia="Segoe UI" w:hAnsi="Segoe UI"/>
        </w:rPr>
        <w:t xml:space="preserve"> → archiviazione in Projexa.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  <w:b/>
          <w:bCs/>
        </w:rPr>
        <w:t xml:space="preserve">Natura: </w:t>
      </w:r>
      <w:r>
        <w:rPr>
          <w:rFonts w:ascii="Segoe UI" w:cs="Segoe UI" w:eastAsia="Segoe UI" w:hAnsi="Segoe UI"/>
        </w:rPr>
        <w:t xml:space="preserve">trattamento su larga scala con elementi di profilazione (scoring di criticità) — rientra tra i casi che richiedono DPIA.</w:t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2. Necessità e proporzionalità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La trascrizione è funzionale allo scopo dichiarato (produrre piani e action item); valutare se l'elaborazione AI sia limitata al minimo necessario.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Minimizzazione: trattare solo i dati indispensabili; evitare la conservazione dell'audio grezzo oltre il necessario.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Trasparenza: informativa e avviso di registrazione a tutti i partecipanti prima dell'avvio.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Diritti: possibilità di opporsi/non essere registrati e di richiedere la cancellazione.</w:t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3. Consultazione</w:t>
      </w:r>
    </w:p>
    <w:p>
      <w:pPr>
        <w:spacing w:after="130" w:line="276"/>
      </w:pPr>
      <w:r>
        <w:rPr>
          <w:rFonts w:ascii="Segoe UI" w:cs="Segoe UI" w:eastAsia="Segoe UI" w:hAnsi="Segoe UI"/>
        </w:rPr>
        <w:t xml:space="preserve">Parere del DPO: </w:t>
      </w:r>
      <w:r>
        <w:rPr>
          <w:rFonts w:ascii="Segoe UI" w:cs="Segoe UI" w:eastAsia="Segoe UI" w:hAnsi="Segoe UI"/>
          <w:b/>
          <w:bCs/>
          <w:color w:val="991B1B"/>
          <w:shd w:fill="FEE2E2" w:color="auto" w:val="clear"/>
        </w:rPr>
        <w:t xml:space="preserve">[da acquisire]</w:t>
      </w:r>
      <w:r>
        <w:rPr>
          <w:rFonts w:ascii="Segoe UI" w:cs="Segoe UI" w:eastAsia="Segoe UI" w:hAnsi="Segoe UI"/>
        </w:rPr>
        <w:t xml:space="preserve">. Eventuale consultazione degli interessati/rappresentanti: </w:t>
      </w:r>
      <w:r>
        <w:rPr>
          <w:rFonts w:ascii="Segoe UI" w:cs="Segoe UI" w:eastAsia="Segoe UI" w:hAnsi="Segoe UI"/>
          <w:b/>
          <w:bCs/>
          <w:color w:val="991B1B"/>
          <w:shd w:fill="FEE2E2" w:color="auto" w:val="clear"/>
        </w:rPr>
        <w:t xml:space="preserve">[esito]</w:t>
      </w:r>
      <w:r>
        <w:rPr>
          <w:rFonts w:ascii="Segoe UI" w:cs="Segoe UI" w:eastAsia="Segoe UI" w:hAnsi="Segoe UI"/>
        </w:rPr>
        <w:t xml:space="preserve">.</w:t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4. Valutazione dei rischi</w:t>
      </w:r>
    </w:p>
    <w:tbl>
      <w:tblPr>
        <w:tblW w:type="pct" w:w="100%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single" w:color="auto" w:sz="4"/>
          <w:insideV w:val="single" w:color="auto" w:sz="4"/>
        </w:tblBorders>
      </w:tblPr>
      <w:tblGrid>
        <w:gridCol w:w="3600"/>
        <w:gridCol w:w="1100"/>
        <w:gridCol w:w="1200"/>
        <w:gridCol w:w="3460"/>
      </w:tblGrid>
      <w:tr>
        <w:trPr>
          <w:tblHeader/>
        </w:trPr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Rischio</w:t>
            </w:r>
          </w:p>
        </w:tc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1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Impatto</w:t>
            </w:r>
          </w:p>
        </w:tc>
        <w:tc>
          <w:tcPr>
            <w:tcW w:type="dxa" w:w="34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3B82F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Misure di mitigazione</w:t>
            </w:r>
          </w:p>
        </w:tc>
      </w:tr>
      <w:tr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Accesso non autorizzato ai contenuti</w:t>
            </w:r>
          </w:p>
        </w:tc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E2E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Alto</w:t>
            </w:r>
          </w:p>
        </w:tc>
        <w:tc>
          <w:tcPr>
            <w:tcW w:type="dxa" w:w="34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Cifratura, controllo accessi per ruolo, isolamento tenant</w:t>
            </w:r>
          </w:p>
        </w:tc>
      </w:tr>
      <w:tr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Partecipanti trattati senza consenso</w:t>
            </w:r>
          </w:p>
        </w:tc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E2E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Alto</w:t>
            </w:r>
          </w:p>
        </w:tc>
        <w:tc>
          <w:tcPr>
            <w:tcW w:type="dxa" w:w="34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Avviso di registrazione + informativa preventiva; opt-out</w:t>
            </w:r>
          </w:p>
        </w:tc>
      </w:tr>
      <w:tr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Profilazione / decisione automatizzata (art. 22)</w:t>
            </w:r>
          </w:p>
        </w:tc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E2E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Alto</w:t>
            </w:r>
          </w:p>
        </w:tc>
        <w:tc>
          <w:tcPr>
            <w:tcW w:type="dxa" w:w="34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Sempre revisione umana; nessuna decisione solo automatizzata</w:t>
            </w:r>
          </w:p>
        </w:tc>
      </w:tr>
      <w:tr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Categorie particolari incidentali</w:t>
            </w:r>
          </w:p>
        </w:tc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D1FAE5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Bassa</w:t>
            </w:r>
          </w:p>
        </w:tc>
        <w:tc>
          <w:tcPr>
            <w:tcW w:type="dxa" w:w="1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E2E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Alto</w:t>
            </w:r>
          </w:p>
        </w:tc>
        <w:tc>
          <w:tcPr>
            <w:tcW w:type="dxa" w:w="34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Minimizzazione, filtri, retention breve</w:t>
            </w:r>
          </w:p>
        </w:tc>
      </w:tr>
      <w:tr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Trasferimento extra-UE presso il provider AI</w:t>
            </w:r>
          </w:p>
        </w:tc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Medio</w:t>
            </w:r>
          </w:p>
        </w:tc>
        <w:tc>
          <w:tcPr>
            <w:tcW w:type="dxa" w:w="34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DPA + SCC / provider certificato, region UE se possibile</w:t>
            </w:r>
          </w:p>
        </w:tc>
      </w:tr>
      <w:tr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Uso dei contenuti per addestrare il modello</w:t>
            </w:r>
          </w:p>
        </w:tc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E2E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Alto</w:t>
            </w:r>
          </w:p>
        </w:tc>
        <w:tc>
          <w:tcPr>
            <w:tcW w:type="dxa" w:w="34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9FAFB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Clausola contrattuale « no training » verificata</w:t>
            </w:r>
          </w:p>
        </w:tc>
      </w:tr>
      <w:tr>
        <w:tc>
          <w:tcPr>
            <w:tcW w:type="dxa" w:w="3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Conservazione eccessiva</w:t>
            </w:r>
          </w:p>
        </w:tc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EF3C7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Medio</w:t>
            </w:r>
          </w:p>
        </w:tc>
        <w:tc>
          <w:tcPr>
            <w:tcW w:type="dxa" w:w="346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8"/>
                <w:szCs w:val="18"/>
              </w:rPr>
              <w:t xml:space="preserve">Cancellazione automatica dopo [N]; niente audio grezzo</w:t>
            </w:r>
          </w:p>
        </w:tc>
      </w:tr>
    </w:tbl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5. Misure previste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Informativa e avviso di registrazione a tutti i partecipanti; raccolta del consenso ove necessario.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DPA (art. 28) con il provider AI, con clausola esplicita di non addestramento sui contenuti e localizzazione UE.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Cifratura in transito e a riposo; controllo accessi per ruolo; log delle consultazioni.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Revisione umana obbligatoria degli output (lo scoring non produce effetti giuridici automatici).</w:t>
      </w:r>
    </w:p>
    <w:p>
      <w:pPr>
        <w:pStyle w:val="ListParagraph"/>
        <w:numPr>
          <w:ilvl w:val="0"/>
          <w:numId w:val="2"/>
        </w:numPr>
        <w:spacing w:after="70" w:line="266"/>
      </w:pPr>
      <w:r>
        <w:rPr>
          <w:rFonts w:ascii="Segoe UI" w:cs="Segoe UI" w:eastAsia="Segoe UI" w:hAnsi="Segoe UI"/>
        </w:rPr>
        <w:t xml:space="preserve">Retention minima con cancellazione automatica; procedura per l'esercizio dei diritti.</w:t>
      </w:r>
    </w:p>
    <w:p>
      <w:pPr>
        <w:pStyle w:val="Heading1"/>
        <w:spacing w:after="150" w:before="320"/>
      </w:pPr>
      <w:r>
        <w:rPr>
          <w:rFonts w:ascii="Segoe UI" w:cs="Segoe UI" w:eastAsia="Segoe UI" w:hAnsi="Segoe UI"/>
          <w:b/>
          <w:bCs/>
          <w:color w:val="1E40AF"/>
          <w:sz w:val="30"/>
          <w:szCs w:val="30"/>
        </w:rPr>
        <w:t xml:space="preserve">6. Esito e rischio residuo</w:t>
      </w:r>
    </w:p>
    <w:p>
      <w:pPr>
        <w:spacing w:after="130" w:line="276"/>
      </w:pPr>
      <w:r>
        <w:rPr>
          <w:rFonts w:ascii="Segoe UI" w:cs="Segoe UI" w:eastAsia="Segoe UI" w:hAnsi="Segoe UI"/>
        </w:rPr>
        <w:t xml:space="preserve">Rischio residuo stimato: </w:t>
      </w:r>
      <w:r>
        <w:rPr>
          <w:rFonts w:ascii="Segoe UI" w:cs="Segoe UI" w:eastAsia="Segoe UI" w:hAnsi="Segoe UI"/>
          <w:b/>
          <w:bCs/>
          <w:color w:val="991B1B"/>
          <w:shd w:fill="FEE2E2" w:color="auto" w:val="clear"/>
        </w:rPr>
        <w:t xml:space="preserve">[Basso / Medio]</w:t>
      </w:r>
      <w:r>
        <w:rPr>
          <w:rFonts w:ascii="Segoe UI" w:cs="Segoe UI" w:eastAsia="Segoe UI" w:hAnsi="Segoe UI"/>
        </w:rPr>
        <w:t xml:space="preserve">. Decisione: </w:t>
      </w:r>
      <w:r>
        <w:rPr>
          <w:rFonts w:ascii="Segoe UI" w:cs="Segoe UI" w:eastAsia="Segoe UI" w:hAnsi="Segoe UI"/>
          <w:b/>
          <w:bCs/>
          <w:color w:val="991B1B"/>
          <w:shd w:fill="FEE2E2" w:color="auto" w:val="clear"/>
        </w:rPr>
        <w:t xml:space="preserve">[procedere / procedere con condizioni / consultazione preventiva del Garante]</w:t>
      </w:r>
      <w:r>
        <w:rPr>
          <w:rFonts w:ascii="Segoe UI" w:cs="Segoe UI" w:eastAsia="Segoe UI" w:hAnsi="Segoe UI"/>
        </w:rPr>
        <w:t xml:space="preserve">. Data e firma del titolare/DPO: </w:t>
      </w:r>
      <w:r>
        <w:rPr>
          <w:rFonts w:ascii="Segoe UI" w:cs="Segoe UI" w:eastAsia="Segoe UI" w:hAnsi="Segoe UI"/>
          <w:b/>
          <w:bCs/>
          <w:color w:val="991B1B"/>
          <w:shd w:fill="FEE2E2" w:color="auto" w:val="clear"/>
        </w:rPr>
        <w:t xml:space="preserve">[…]</w:t>
      </w:r>
      <w:r>
        <w:rPr>
          <w:rFonts w:ascii="Segoe UI" w:cs="Segoe UI" w:eastAsia="Segoe UI" w:hAnsi="Segoe UI"/>
        </w:rPr>
        <w:t xml:space="preserve">.</w:t>
      </w:r>
    </w:p>
    <w:tbl>
      <w:tblPr>
        <w:tblW w:type="pct" w:w="100%"/>
        <w:tblBorders>
          <w:top w:val="single" w:color="FEF3C7" w:sz="4"/>
          <w:left w:val="single" w:color="B45309" w:sz="24"/>
          <w:bottom w:val="single" w:color="FEF3C7" w:sz="4"/>
          <w:right w:val="single" w:color="FEF3C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color="auto" w:val="clear"/>
            <w:tcMar>
              <w:top w:type="dxa" w:w="110"/>
              <w:left w:type="dxa" w:w="20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B45309"/>
                <w:sz w:val="20"/>
                <w:szCs w:val="20"/>
              </w:rPr>
              <w:t xml:space="preserve">Consultazione preventiva</w:t>
            </w:r>
          </w:p>
          <w:p>
            <w:pPr>
              <w:spacing w:after="0" w:line="262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Se, nonostante le misure, permane un rischio elevato non mitigabile, è obbligatoria la consultazione preventiva dell'Autorità Garante (art. 36 GDPR) prima di avviare il trattamento.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Segoe UI" w:cs="Segoe UI" w:eastAsia="Segoe UI" w:hAnsi="Segoe UI"/>
        <w:color w:val="6B7280"/>
        <w:sz w:val="16"/>
        <w:szCs w:val="16"/>
      </w:rPr>
      <w:t xml:space="preserve">Pagina </w:t>
    </w:r>
    <w:r>
      <w:rPr>
        <w:rFonts w:ascii="Segoe UI" w:cs="Segoe UI" w:eastAsia="Segoe UI" w:hAnsi="Segoe U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0"/>
      <w:jc w:val="right"/>
    </w:pPr>
    <w:r>
      <w:rPr>
        <w:rFonts w:ascii="Segoe UI" w:cs="Segoe UI" w:eastAsia="Segoe UI" w:hAnsi="Segoe UI"/>
        <w:color w:val="6B7280"/>
        <w:sz w:val="16"/>
        <w:szCs w:val="16"/>
      </w:rPr>
      <w:t xml:space="preserve">Projexa · DPIA — Trascrizioni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3B82F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DPIA_Trascrizioni_AI.docx</dc:title>
  <dc:creator>Projexa</dc:creator>
  <cp:lastModifiedBy>Un-named</cp:lastModifiedBy>
  <cp:revision>1</cp:revision>
  <dcterms:created xsi:type="dcterms:W3CDTF">2026-08-18T17:59:39.767Z</dcterms:created>
  <dcterms:modified xsi:type="dcterms:W3CDTF">2026-08-18T17:59:39.767Z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