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PROJEXA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Conformità al GDPR (Reg. UE 2016/679)</w:t>
            </w:r>
          </w:p>
          <w:p>
            <w:pPr>
              <w:spacing w:after="16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GDPR Gap Analysis</w:t>
            </w:r>
          </w:p>
        </w:tc>
      </w:tr>
    </w:tbl>
    <w:p>
      <w:pPr>
        <w:spacing w:after="180"/>
      </w:pPr>
      <w:r>
        <w:rPr>
          <w:rFonts w:ascii="Segoe UI" w:cs="Segoe UI" w:eastAsia="Segoe UI" w:hAnsi="Segoe UI"/>
        </w:rPr>
        <w:t xml:space="preserve"/>
      </w:r>
    </w:p>
    <w:p>
      <w:pPr>
        <w:spacing w:after="8"/>
      </w:pPr>
      <w:r>
        <w:rPr>
          <w:rFonts w:ascii="Segoe UI" w:cs="Segoe UI" w:eastAsia="Segoe UI" w:hAnsi="Segoe UI"/>
          <w:b/>
          <w:bCs/>
          <w:color w:val="1F2937"/>
          <w:sz w:val="24"/>
          <w:szCs w:val="24"/>
        </w:rPr>
        <w:t xml:space="preserve">GDPR Gap Analysis — stato prima / dopo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Analisi delle lacune di conformità e degli interventi applicati — versione del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[DATA]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Avvertenza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Documento predisposto come supporto operativo. Non costituisce parere legale: la versione definitiva va validata dal Responsabile della Protezione dei Dati (DPO) o da un consulente legale. I campi evidenziati vanno compilati con i dati reali dell'organizzazione.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Sintesi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L'analisi ha esaminato l'applicazione Projexa (codice e funzionamento) rispetto ai principali obblighi del GDPR. Sono stati individuati alcuni rilievi critici sulla sicurezza, prontamente risolti a livello tecnico, e diversi adempimenti organizzativi ancora da completare (informativa, accordi con i fornitori, registro dei trattamenti, DPIA).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  <w:color w:val="065F46"/>
        </w:rPr>
        <w:t xml:space="preserve">Risolti a livello tecnico: </w:t>
      </w:r>
      <w:r>
        <w:rPr>
          <w:rFonts w:ascii="Segoe UI" w:cs="Segoe UI" w:eastAsia="Segoe UI" w:hAnsi="Segoe UI"/>
        </w:rPr>
        <w:t xml:space="preserve">accesso arbitrario al database, CORS, header di sicurezza, brute-force login, diritti di export/cancellazione, banner cookie.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  <w:color w:val="B45309"/>
        </w:rPr>
        <w:t xml:space="preserve">Da completare (organizzativo): </w:t>
      </w:r>
      <w:r>
        <w:rPr>
          <w:rFonts w:ascii="Segoe UI" w:cs="Segoe UI" w:eastAsia="Segoe UI" w:hAnsi="Segoe UI"/>
        </w:rPr>
        <w:t xml:space="preserve">informativa privacy, DPA con i fornitori, trasferimenti extra-UE, RoPA, DPIA, retention, DPO, procedura data breach.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Quadro dei rilievi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4400"/>
        <w:gridCol w:w="1300"/>
        <w:gridCol w:w="17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Rilievo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Gravità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Rif.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SQL editor accessibile a qualsiasi utente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Critica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Risolto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32 / 5.1.f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Nessun diritto di accesso/cancellazione/export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Critica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Risolto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15/17/20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Informativa privacy assente/incompleta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13/14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Consenso cookie mancante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Mitigato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ePrivacy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DPA e trasferimenti extra-UE non documentati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28/44-49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Trascrizioni/AI: base giuridica e DPIA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6/35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CORS aperto a tutte le origini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Risolto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Nessun rate-limit sul login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Risolto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Header di sicurezza mancanti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Risolto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RoPA (registro trattamenti) assente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065F46"/>
                <w:sz w:val="18"/>
                <w:szCs w:val="18"/>
              </w:rPr>
              <w:t xml:space="preserve">Mitigato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30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Retention/cancellazione non automatizzata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5.1.c/e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DPO e procedura data breach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33/34/37</w:t>
            </w:r>
          </w:p>
        </w:tc>
      </w:tr>
      <w:tr>
        <w:tc>
          <w:tcPr>
            <w:tcW w:type="dxa" w:w="4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JWT in localStorage (rischio XSS)</w:t>
            </w:r>
          </w:p>
        </w:tc>
        <w:tc>
          <w:tcPr>
            <w:tcW w:type="dxa" w:w="13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1E40AF"/>
                <w:sz w:val="18"/>
                <w:szCs w:val="18"/>
              </w:rPr>
              <w:t xml:space="preserve">Bassa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18"/>
                <w:szCs w:val="18"/>
              </w:rPr>
              <w:t xml:space="preserve">Da completare</w:t>
            </w:r>
          </w:p>
        </w:tc>
        <w:tc>
          <w:tcPr>
            <w:tcW w:type="dxa" w:w="19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Art. 32</w:t>
            </w:r>
          </w:p>
        </w:tc>
      </w:tr>
    </w:tbl>
    <w:p>
      <w:pPr>
        <w:spacing w:after="160" w:before="60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Legenda gravità: Critica (rischio immediato) · Alta · Media · Bassa. Stato: Risolto/Mitigato (intervento applicato) · Da completare (adempimento organizzativo).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Interventi tecnici applicati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SQL editor</w:t>
      </w:r>
      <w:r>
        <w:rPr>
          <w:rFonts w:ascii="Segoe UI" w:cs="Segoe UI" w:eastAsia="Segoe UI" w:hAnsi="Segoe UI"/>
        </w:rPr>
        <w:t xml:space="preserve"> — endpoint </w:t>
      </w:r>
      <w:r>
        <w:rPr>
          <w:rFonts w:ascii="Consolas" w:cs="Consolas" w:eastAsia="Consolas" w:hAnsi="Consolas"/>
          <w:sz w:val="18"/>
          <w:szCs w:val="18"/>
        </w:rPr>
        <w:t xml:space="preserve">/api/sql/*</w:t>
      </w:r>
      <w:r>
        <w:rPr>
          <w:rFonts w:ascii="Segoe UI" w:cs="Segoe UI" w:eastAsia="Segoe UI" w:hAnsi="Segoe UI"/>
        </w:rPr>
        <w:t xml:space="preserve"> ora riservati agli amministratori (id_roles=1) oltre al kill-switch </w:t>
      </w:r>
      <w:r>
        <w:rPr>
          <w:rFonts w:ascii="Consolas" w:cs="Consolas" w:eastAsia="Consolas" w:hAnsi="Consolas"/>
          <w:sz w:val="18"/>
          <w:szCs w:val="18"/>
        </w:rPr>
        <w:t xml:space="preserve">DISABLE_SQL_EDITOR</w:t>
      </w:r>
      <w:r>
        <w:rPr>
          <w:rFonts w:ascii="Segoe UI" w:cs="Segoe UI" w:eastAsia="Segoe UI" w:hAnsi="Segoe U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Diritti dell'interessato</w:t>
      </w:r>
      <w:r>
        <w:rPr>
          <w:rFonts w:ascii="Segoe UI" w:cs="Segoe UI" w:eastAsia="Segoe UI" w:hAnsi="Segoe UI"/>
        </w:rPr>
        <w:t xml:space="preserve"> — nuovi endpoint </w:t>
      </w:r>
      <w:r>
        <w:rPr>
          <w:rFonts w:ascii="Consolas" w:cs="Consolas" w:eastAsia="Consolas" w:hAnsi="Consolas"/>
          <w:sz w:val="18"/>
          <w:szCs w:val="18"/>
        </w:rPr>
        <w:t xml:space="preserve">GET /api/gdpr/export</w:t>
      </w:r>
      <w:r>
        <w:rPr>
          <w:rFonts w:ascii="Segoe UI" w:cs="Segoe UI" w:eastAsia="Segoe UI" w:hAnsi="Segoe UI"/>
        </w:rPr>
        <w:t xml:space="preserve"> (scarica i propri dati) e </w:t>
      </w:r>
      <w:r>
        <w:rPr>
          <w:rFonts w:ascii="Consolas" w:cs="Consolas" w:eastAsia="Consolas" w:hAnsi="Consolas"/>
          <w:sz w:val="18"/>
          <w:szCs w:val="18"/>
        </w:rPr>
        <w:t xml:space="preserve">DELETE /api/gdpr/erase</w:t>
      </w:r>
      <w:r>
        <w:rPr>
          <w:rFonts w:ascii="Segoe UI" w:cs="Segoe UI" w:eastAsia="Segoe UI" w:hAnsi="Segoe UI"/>
        </w:rPr>
        <w:t xml:space="preserve"> (anonimizza il profilo e revoca gli accessi), con UI « Privacy e dati » in dashboard.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CORS</w:t>
      </w:r>
      <w:r>
        <w:rPr>
          <w:rFonts w:ascii="Segoe UI" w:cs="Segoe UI" w:eastAsia="Segoe UI" w:hAnsi="Segoe UI"/>
        </w:rPr>
        <w:t xml:space="preserve"> — ristretto a same-origin + whitelist (</w:t>
      </w:r>
      <w:r>
        <w:rPr>
          <w:rFonts w:ascii="Consolas" w:cs="Consolas" w:eastAsia="Consolas" w:hAnsi="Consolas"/>
          <w:sz w:val="18"/>
          <w:szCs w:val="18"/>
        </w:rPr>
        <w:t xml:space="preserve">ALLOWED_ORIGINS</w:t>
      </w:r>
      <w:r>
        <w:rPr>
          <w:rFonts w:ascii="Segoe UI" w:cs="Segoe UI" w:eastAsia="Segoe UI" w:hAnsi="Segoe U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Header di sicurezza</w:t>
      </w:r>
      <w:r>
        <w:rPr>
          <w:rFonts w:ascii="Segoe UI" w:cs="Segoe UI" w:eastAsia="Segoe UI" w:hAnsi="Segoe UI"/>
        </w:rPr>
        <w:t xml:space="preserve"> — X-Content-Type-Options, X-Frame-Options, Referrer-Policy, Permissions-Policy.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Anti brute-force</w:t>
      </w:r>
      <w:r>
        <w:rPr>
          <w:rFonts w:ascii="Segoe UI" w:cs="Segoe UI" w:eastAsia="Segoe UI" w:hAnsi="Segoe UI"/>
        </w:rPr>
        <w:t xml:space="preserve"> — rate-limit sul login (10 tentativi/IP ogni 15 min).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Informativa e cookie</w:t>
      </w:r>
      <w:r>
        <w:rPr>
          <w:rFonts w:ascii="Segoe UI" w:cs="Segoe UI" w:eastAsia="Segoe UI" w:hAnsi="Segoe UI"/>
        </w:rPr>
        <w:t xml:space="preserve"> — pagina </w:t>
      </w:r>
      <w:r>
        <w:rPr>
          <w:rFonts w:ascii="Consolas" w:cs="Consolas" w:eastAsia="Consolas" w:hAnsi="Consolas"/>
          <w:sz w:val="18"/>
          <w:szCs w:val="18"/>
        </w:rPr>
        <w:t xml:space="preserve">privacy.html</w:t>
      </w:r>
      <w:r>
        <w:rPr>
          <w:rFonts w:ascii="Segoe UI" w:cs="Segoe UI" w:eastAsia="Segoe UI" w:hAnsi="Segoe UI"/>
        </w:rPr>
        <w:t xml:space="preserve"> (modello art. 13 + cookie policy) e banner di consenso condiviso.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Azioni residue (piano di rimedio)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5760"/>
        <w:gridCol w:w="1900"/>
        <w:gridCol w:w="1700"/>
      </w:tblGrid>
      <w:tr>
        <w:trPr>
          <w:tblHeader/>
        </w:trP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Completare e pubblicare l'informativa privacy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[Legale/DPO]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Firmare i DPA con Neon, Render, Google, Microsoft, AI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[Titolare]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Verificare region UE e trasferimenti (SCC)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[IT/DPO]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Compilare il RoPA (modello fornito)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[DPO]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Completare la DPIA per le trascrizioni AI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[DPO]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Definire e automatizzare la retention / cancellazione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[IT]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Nominare il DPO (se richiesto) e procedura breach 72h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BEAFE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[Titolare]</w:t>
            </w:r>
          </w:p>
        </w:tc>
      </w:tr>
      <w:tr>
        <w:tc>
          <w:tcPr>
            <w:tcW w:type="dxa" w:w="5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Valutare token in cookie httpOnly + CSP</w:t>
            </w:r>
          </w:p>
        </w:tc>
        <w:tc>
          <w:tcPr>
            <w:tcW w:type="dxa" w:w="1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Bassa</w:t>
            </w:r>
          </w:p>
        </w:tc>
        <w:tc>
          <w:tcPr>
            <w:tcW w:type="dxa" w:w="17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991B1B"/>
                <w:shd w:fill="FEE2E2" w:color="auto" w:val="clear"/>
              </w:rPr>
              <w:t xml:space="preserve">[IT]</w:t>
            </w:r>
          </w:p>
        </w:tc>
      </w:tr>
    </w:tbl>
    <w:p>
      <w:pPr>
        <w:spacing w:after="80"/>
      </w:pPr>
      <w:r>
        <w:rPr>
          <w:rFonts w:ascii="Segoe UI" w:cs="Segoe UI" w:eastAsia="Segoe UI" w:hAnsi="Segoe UI"/>
        </w:rPr>
        <w:t xml:space="preserve"/>
      </w:r>
    </w:p>
    <w:tbl>
      <w:tblPr>
        <w:tblW w:type="pct" w:w="100%"/>
        <w:tblBorders>
          <w:top w:val="single" w:color="DBEAFE" w:sz="4"/>
          <w:left w:val="single" w:color="3B82F6" w:sz="24"/>
          <w:bottom w:val="single" w:color="DBEAFE" w:sz="4"/>
          <w:right w:val="single" w:color="DBEAF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BEAFE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0"/>
                <w:szCs w:val="20"/>
              </w:rPr>
              <w:t xml:space="preserve">Nota di deploy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</w:rPr>
              <w:t xml:space="preserve">Perché i fix tecnici siano attivi in produzione: riavviare il backend, impostare su Render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ALLOWED_ORIGINS</w:t>
            </w:r>
            <w:r>
              <w:rPr>
                <w:rFonts w:ascii="Segoe UI" w:cs="Segoe UI" w:eastAsia="Segoe UI" w:hAnsi="Segoe UI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DISABLE_SQL_EDITOR=true</w:t>
            </w:r>
            <w:r>
              <w:rPr>
                <w:rFonts w:ascii="Segoe UI" w:cs="Segoe UI" w:eastAsia="Segoe UI" w:hAnsi="Segoe UI"/>
              </w:rPr>
              <w:t xml:space="preserve">, ed effettuare il push su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master</w:t>
            </w:r>
            <w:r>
              <w:rPr>
                <w:rFonts w:ascii="Segoe UI" w:cs="Segoe UI" w:eastAsia="Segoe UI" w:hAnsi="Segoe UI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GDPR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GDPR_Gap_Analysis.docx</dc:title>
  <dc:creator>Projexa</dc:creator>
  <cp:lastModifiedBy>Un-named</cp:lastModifiedBy>
  <cp:revision>1</cp:revision>
  <dcterms:created xsi:type="dcterms:W3CDTF">2026-08-18T17:59:39.801Z</dcterms:created>
  <dcterms:modified xsi:type="dcterms:W3CDTF">2026-08-18T17:59:39.801Z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