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40A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PROJEXA</w:t>
            </w:r>
          </w:p>
          <w:p>
            <w:pPr>
              <w:spacing w:after="200"/>
            </w:pPr>
            <w:r>
              <w:rPr>
                <w:rFonts w:ascii="Segoe UI" w:cs="Segoe UI" w:eastAsia="Segoe UI" w:hAnsi="Segoe UI"/>
                <w:color w:val="C7D2FE"/>
                <w:sz w:val="22"/>
                <w:szCs w:val="22"/>
              </w:rPr>
              <w:t xml:space="preserve">Conformità al GDPR (Reg. UE 2016/679)</w:t>
            </w:r>
          </w:p>
          <w:p>
            <w:pPr>
              <w:spacing w:after="16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Registro dei trattamenti (RoPA)</w:t>
            </w:r>
          </w:p>
        </w:tc>
      </w:tr>
    </w:tbl>
    <w:p>
      <w:pPr>
        <w:spacing w:after="180"/>
      </w:pPr>
      <w:r>
        <w:rPr>
          <w:rFonts w:ascii="Segoe UI" w:cs="Segoe UI" w:eastAsia="Segoe UI" w:hAnsi="Segoe UI"/>
        </w:rPr>
        <w:t xml:space="preserve"/>
      </w:r>
    </w:p>
    <w:p>
      <w:pPr>
        <w:spacing w:after="8"/>
      </w:pPr>
      <w:r>
        <w:rPr>
          <w:rFonts w:ascii="Segoe UI" w:cs="Segoe UI" w:eastAsia="Segoe UI" w:hAnsi="Segoe UI"/>
          <w:b/>
          <w:bCs/>
          <w:color w:val="1F2937"/>
          <w:sz w:val="24"/>
          <w:szCs w:val="24"/>
        </w:rPr>
        <w:t xml:space="preserve">Registro delle attività di trattamento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ai sensi dell'art. 30 GDPR — versione del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[DATA]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Avvertenza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Documento predisposto come supporto operativo. Non costituisce parere legale: la versione definitiva va validata dal Responsabile della Protezione dei Dati (DPO) o da un consulente legale. I campi evidenziati vanno compilati con i dati reali dell'organizzazione.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Titolare del trattamento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Titolare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[RAGIONE SOCIALE]</w:t>
            </w:r>
            <w:r>
              <w:rPr>
                <w:rFonts w:ascii="Segoe UI" w:cs="Segoe UI" w:eastAsia="Segoe UI" w:hAnsi="Segoe UI"/>
              </w:rPr>
              <w:t xml:space="preserve"> —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[INDIRIZZO]</w:t>
            </w:r>
            <w:r>
              <w:rPr>
                <w:rFonts w:ascii="Segoe UI" w:cs="Segoe UI" w:eastAsia="Segoe UI" w:hAnsi="Segoe UI"/>
              </w:rPr>
              <w:t xml:space="preserve"> — P.IVA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[P.IVA]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Contatti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[EMAIL]</w:t>
            </w:r>
            <w:r>
              <w:rPr>
                <w:rFonts w:ascii="Segoe UI" w:cs="Segoe UI" w:eastAsia="Segoe UI" w:hAnsi="Segoe UI"/>
              </w:rPr>
              <w:t xml:space="preserve"> ·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[TELEFONO]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DPO (se nominato)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[NOME / EMAIL DPO]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Attività di trattamento</w:t>
      </w:r>
    </w:p>
    <w:p>
      <w:pPr>
        <w:pStyle w:val="Heading3"/>
        <w:spacing w:after="80" w:before="16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1. Gestione utenti e autenticazione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Finalità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Creazione e gestione degli account, autenticazione, controllo degli accessi.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Base giuridica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Esecuzione del contratto (art. 6.1.b); sicurezza: legittimo interesse (art. 6.1.f).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interessati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Utenti della piattaforma.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dati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Nome, cognome, email, credenziali (hash bcrypt), ruolo, organizzazione, log di accesso.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Destinatari / responsabili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Hosting (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[Render]</w:t>
            </w:r>
            <w:r>
              <w:rPr>
                <w:rFonts w:ascii="Segoe UI" w:cs="Segoe UI" w:eastAsia="Segoe UI" w:hAnsi="Segoe UI"/>
              </w:rPr>
              <w:t xml:space="preserve">), database (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[Neon]</w:t>
            </w:r>
            <w:r>
              <w:rPr>
                <w:rFonts w:ascii="Segoe UI" w:cs="Segoe UI" w:eastAsia="Segoe UI" w:hAnsi="Segoe UI"/>
              </w:rPr>
              <w:t xml:space="preserve">), provider OAuth (Google, Microsoft).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Trasferimenti extra-UE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[Da verificare: regione UE / SCC]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Durata del rapporto; log per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</w:t>
            </w:r>
            <w:r>
              <w:rPr>
                <w:rFonts w:ascii="Segoe UI" w:cs="Segoe UI" w:eastAsia="Segoe UI" w:hAnsi="Segoe UI"/>
              </w:rPr>
              <w:t xml:space="preserve"> mesi.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Hash password, JWT, isolamento multi-tenant, query parametrizzate, TLS, rate-limit login, header di sicurezza, SQL editor riservato agli admin.</w:t>
            </w:r>
          </w:p>
        </w:tc>
      </w:tr>
    </w:tbl>
    <w:p>
      <w:pPr>
        <w:pStyle w:val="Heading3"/>
        <w:spacing w:after="80" w:before="16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2. Erogazione del servizio (clienti, contatti, progetti, impostazioni)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Finalità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Gestione delle anagrafiche clienti e contatti, dei progetti e dei campi/impostazioni.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Base giuridica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Esecuzione del contratto (art. 6.1.b). Per i contatti (terzi) l'organizzazione utente agisce come titolare.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interessati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Clienti, referenti/contatti, utenti.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dati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Ragioni sociali, dati di contatto (nome, email, telefono), note, campi personalizzati.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Destinatari / responsabili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Hosting (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[Render]</w:t>
            </w:r>
            <w:r>
              <w:rPr>
                <w:rFonts w:ascii="Segoe UI" w:cs="Segoe UI" w:eastAsia="Segoe UI" w:hAnsi="Segoe UI"/>
              </w:rPr>
              <w:t xml:space="preserve">), database (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[Neon]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Trasferimenti extra-UE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[Da verificare]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Durata del rapporto o secondo policy interna (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</w:t>
            </w:r>
            <w:r>
              <w:rPr>
                <w:rFonts w:ascii="Segoe UI" w:cs="Segoe UI" w:eastAsia="Segoe UI" w:hAnsi="Segoe UI"/>
              </w:rPr>
              <w:t xml:space="preserve">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Isolamento tenant, controllo accessi per ruolo (visibilità dei campi), rimozione delle colonne sensibili dalle risposte.</w:t>
            </w:r>
          </w:p>
        </w:tc>
      </w:tr>
    </w:tbl>
    <w:p>
      <w:pPr>
        <w:pStyle w:val="Heading3"/>
        <w:spacing w:after="80" w:before="16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3. Sicurezza e registri (log)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Finalità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Sicurezza del sistema, audit trail, prevenzione e indagine su abusi.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Base giuridica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Legittimo interesse (art. 6.1.f); obbligo legale ove applicabile (art. 6.1.c).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dati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 di accesso e di attività, indirizzo IP, timestamp, identificativo utente.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</w:t>
            </w:r>
            <w:r>
              <w:rPr>
                <w:rFonts w:ascii="Segoe UI" w:cs="Segoe UI" w:eastAsia="Segoe UI" w:hAnsi="Segoe UI"/>
              </w:rPr>
              <w:t xml:space="preserve"> mesi, poi cancellazione/anonimizzazione.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Accesso ristretto ai log, retention definita, rate-limit sul login.</w:t>
            </w:r>
          </w:p>
        </w:tc>
      </w:tr>
    </w:tbl>
    <w:p>
      <w:pPr>
        <w:pStyle w:val="Heading3"/>
        <w:spacing w:after="80" w:before="16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4. Integrazioni email e calendario (Google / Microsoft) — se attive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Finalità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Sincronizzazione di email, thread ed eventi di calendario/riunioni.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Base giuridica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Consenso (art. 6.1.a) e/o esecuzione del contratto.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dati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Email, contenuti di calendario, dati dei partecipanti.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Destinatari / responsabili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Google, Microsoft.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Trasferimenti extra-UE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[Da verificare]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</w:t>
            </w:r>
            <w:r>
              <w:rPr>
                <w:rFonts w:ascii="Segoe UI" w:cs="Segoe UI" w:eastAsia="Segoe UI" w:hAnsi="Segoe UI"/>
              </w:rPr>
              <w:t xml:space="preserve"> · valutare minimizzazione.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Token OAuth con ambiti minimi, revoca possibile, cifratura in transito.</w:t>
            </w:r>
          </w:p>
        </w:tc>
      </w:tr>
    </w:tbl>
    <w:p>
      <w:pPr>
        <w:pStyle w:val="Heading3"/>
        <w:spacing w:after="80" w:before="160"/>
      </w:pP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5. Trascrizione riunioni e analisi AI — se attiva (richiede DPIA)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Finalità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Trascrizione delle riunioni, estrazione di action item, assegnazione automatica di criticità.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Base giuridica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Consenso dei partecipanti (art. 6.1.a) e informativa preventiva.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interessati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Partecipanti alle riunioni (anche esterni).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Categorie di dati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Audio/testo delle riunioni, identità dei partecipanti (possibili categorie particolari incidentali).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Destinatari / responsabili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Provider di elaborazione/AI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[fornitore]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Trasferimenti extra-UE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[Da verificare: SCC / adeguatezza]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Conservazione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</w:rPr>
              <w:t xml:space="preserve">Il più breve possibile — </w:t>
            </w: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[N]</w:t>
            </w:r>
            <w:r>
              <w:rPr>
                <w:rFonts w:ascii="Segoe UI" w:cs="Segoe UI" w:eastAsia="Segoe UI" w:hAnsi="Segoe UI"/>
              </w:rPr>
              <w:t xml:space="preserve"> ; cancellazione automatica.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Consenso/informativa ai partecipanti, DPA con clausola « no training », cifratura, retention minima, revisione umana (nessuna decisione solo automatizzata).</w:t>
            </w:r>
          </w:p>
        </w:tc>
      </w:tr>
    </w:tbl>
    <w:p>
      <w:pPr>
        <w:spacing w:after="80"/>
      </w:pPr>
      <w:r>
        <w:rPr>
          <w:rFonts w:ascii="Segoe UI" w:cs="Segoe UI" w:eastAsia="Segoe UI" w:hAnsi="Segoe UI"/>
        </w:rPr>
        <w:t xml:space="preserve"/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Aggiornamento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Il registro va rivisto periodicamente e ad ogni nuovo trattamento o modifica rilevante (nuovi fornitori, nuove finalità, nuove categorie di dati).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Registro dei trattamenti (RoPA)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Registro_Trattamenti_RoPA.docx</dc:title>
  <dc:creator>Projexa</dc:creator>
  <cp:lastModifiedBy>Un-named</cp:lastModifiedBy>
  <cp:revision>1</cp:revision>
  <dcterms:created xsi:type="dcterms:W3CDTF">2026-08-18T17:59:39.684Z</dcterms:created>
  <dcterms:modified xsi:type="dcterms:W3CDTF">2026-08-18T17:59:39.687Z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