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Di solito è pronto in pochi secondi;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Una licenza appena aggiunta è già Attiva: se non lo è ancora, spegni l’interruttore prima di salvare.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 Lo trovi in tutte le pagine di Projexa (dashboard, Gantt, Issue, Portfolio, Cruscotto PM, Report…), non solo nella dashboard.</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Il nuovo utente riceve in automatico l’elenco delle licenze (quelle proposte nell’Elenco Licenze dei clienti) dell’amministratore della sua azienda.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con la chiave API (ChatGPT, Claude, Gemini, Mistral).</w:t>
      </w:r>
      <w:r>
        <w:rPr>
          <w:b/>
          <w:bCs/>
        </w:rPr>
        <w:t xml:space="preserve"/>
      </w:r>
      <w:r>
        <w:rPr>
          <w:b w:val="false"/>
          <w:bCs w:val="false"/>
        </w:rPr>
        <w:t xml:space="preserve"/>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rifiuta la modalità Batch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 in tutte le pagine di Projexa.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Fatturato progetto</w:t>
            </w:r>
          </w:p>
        </w:tc>
        <w:tc>
          <w:tcPr>
            <w:tcW w:type="dxa" w:w="900"/>
            <w:vAlign w:val="center"/>
          </w:tcPr>
          <w:p>
            <w:pPr>
              <w:spacing w:after="20" w:before="20"/>
            </w:pPr>
            <w:r>
              <w:rPr>
                <w:sz w:val="20"/>
                <w:szCs w:val="20"/>
                <w:b w:val="false"/>
                <w:bCs w:val="false"/>
              </w:rPr>
              <w:t xml:space="preserve">FP</w:t>
            </w:r>
          </w:p>
        </w:tc>
        <w:tc>
          <w:tcPr>
            <w:tcW w:type="dxa" w:w="3500"/>
            <w:vAlign w:val="center"/>
          </w:tcPr>
          <w:p>
            <w:pPr>
              <w:spacing w:after="20" w:before="20"/>
            </w:pPr>
            <w:r>
              <w:rPr>
                <w:sz w:val="20"/>
                <w:szCs w:val="20"/>
                <w:b w:val="false"/>
                <w:bCs w:val="false"/>
              </w:rPr>
              <w:t xml:space="preserve">Per ogni progetto: Importo, fatturato, fatturato futuro e da fatturare (anche senza righe di fatturazione)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