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Checklist Retention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Politica e checklist di conservazione dei dati (art. 5.1.e GDPR)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17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Tabella di conservazione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410"/>
        <w:gridCol w:w="2891"/>
        <w:gridCol w:w="1735"/>
      </w:tblGrid>
      <w:tr>
        <w:trPr>
          <w:tblHeader/>
        </w:trPr>
        <w:tc>
          <w:tcPr>
            <w:tcW w:type="dxa" w:w="260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Categoria</w:t>
            </w:r>
          </w:p>
        </w:tc>
        <w:tc>
          <w:tcPr>
            <w:tcW w:type="dxa" w:w="241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289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Come avviene</w:t>
            </w:r>
          </w:p>
        </w:tc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utente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Durata del rapporto; cancellazione entro 30 giorni dalla richiesta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 richiesta (procedura richieste interessati)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Manuale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Sessioni revocate e magic link usati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Fino alla scadenza del token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di accesso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mesi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Lavoro notturno sul database di audit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delle variazioni (prima/dopo)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mesi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Lavoro notturno sul database di audit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delle email inviate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mesi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Lavoro notturno sul database di audit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delle riunioni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Fino alla trascrizione (residui: poche ore)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Trascrizioni e recap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mesi dalla riunione (PROPOSTA)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 automatizzare dopo la conferma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 confermare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 di clienti, progetti, contatti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Durata del contratto con l'azienda cliente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o restituzione a fine contratto, con conferma scritta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Manuale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giorni (giornalieri), 12 mesi (mensili)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Rotazione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Copia di staging (Neon)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Sovrascritta ogni notte, anonimizzata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Copia e anonimizzazione automatiche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Risultati AI in Batch e file temporanei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giorni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Pulizia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Cookie di sessione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ore di inattività, massimo 24 ore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Scadenza del cookie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Checklist operativa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Confermare la conservazione di trascrizioni e recap (proposta: 24 mesi) e chiedere all'IT la cancellazione automatica.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Formalizzare la cancellazione a fine contratto per le aziende clienti (con conferma scritta).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Gestire gli account inattivi (avviso e cancellazione dopo [N] mesi).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☑ Indicare nell'informativa che i dati cancellati restano nei backup fino alla rotazione (massimo 12 mesi) — fatto nella bozza.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☑ Allineare RoPA e informativa a questa tabella — fatto il 17 ottobre 2026.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Rivedere la politica almeno una volta l'anno.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Checklist Retention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Retention</dc:title>
  <dc:creator>Projexa</dc:creator>
  <cp:lastModifiedBy>Un-named</cp:lastModifiedBy>
  <cp:revision>1</cp:revision>
  <dcterms:created xsi:type="dcterms:W3CDTF">2026-10-17T19:56:35.053Z</dcterms:created>
  <dcterms:modified xsi:type="dcterms:W3CDTF">2026-10-17T19:56:35.053Z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