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rFonts w:ascii="Calibri" w:cs="Calibri" w:eastAsia="Calibri" w:hAnsi="Calibri"/>
          <w:b/>
          <w:bCs/>
          <w:color w:val="312E81"/>
          <w:sz w:val="44"/>
          <w:szCs w:val="44"/>
        </w:rPr>
        <w:t xml:space="preserve">PROJEXA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DPIA — Trascrizioni e AI</w:t>
      </w:r>
    </w:p>
    <w:p>
      <w:pPr>
        <w:pBdr>
          <w:bottom w:val="single" w:color="312E81" w:sz="12" w:space="8"/>
        </w:pBdr>
        <w:spacing w:after="600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Valutazione d'impatto (art. 35 GDPR): registrazione e trascrizione delle riunioni, recap e documenti generati con l'AI</w:t>
      </w:r>
    </w:p>
    <w:p>
      <w:pPr>
        <w:spacing w:after="80"/>
      </w:pPr>
      <w:r>
        <w:rPr>
          <w:rFonts w:ascii="Calibri" w:cs="Calibri" w:eastAsia="Calibri" w:hAnsi="Calibri"/>
          <w:color w:val="6B7280"/>
          <w:sz w:val="21"/>
          <w:szCs w:val="21"/>
        </w:rPr>
        <w:t xml:space="preserve">Versione del 17 ottobre 2026</w:t>
      </w:r>
    </w:p>
    <w:p>
      <w:r>
        <w:br w:type="page"/>
      </w:r>
    </w:p>
    <w:p>
      <w:pPr>
        <w:pBdr>
          <w:left w:val="single" w:color="F59E0B" w:sz="18" w:space="6"/>
        </w:pBdr>
        <w:shd w:fill="FFFBEB" w:color="auto" w:val="clear"/>
        <w:spacing w:after="160" w:before="120" w:line="264"/>
      </w:pPr>
      <w:r>
        <w:rPr>
          <w:rFonts w:ascii="Calibri" w:cs="Calibri" w:eastAsia="Calibri" w:hAnsi="Calibri"/>
          <w:b/>
          <w:bCs/>
          <w:color w:val="92400E"/>
          <w:sz w:val="21"/>
          <w:szCs w:val="21"/>
        </w:rPr>
        <w:t xml:space="preserve">Avvertenza: </w:t>
      </w:r>
      <w:r>
        <w:rPr>
          <w:rFonts w:ascii="Calibri" w:cs="Calibri" w:eastAsia="Calibri" w:hAnsi="Calibri"/>
          <w:color w:val="92400E"/>
          <w:sz w:val="21"/>
          <w:szCs w:val="21"/>
        </w:rPr>
        <w:t xml:space="preserve">documento predisposto come supporto operativo, non costituisce parere legale: la versione definitiva va validata dal DPO o da un consulente legale. I campi tra parentesi quadre vanno compilati con i dati reali del titolare. Aggiornato allo stato tecnico della piattaforma al 17 ottobre 2026 (vedi «Projexa – Architettura e sicurezza»).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312E81"/>
          <w:sz w:val="30"/>
          <w:szCs w:val="30"/>
        </w:rPr>
        <w:t xml:space="preserve">1. Descrizione del trattamento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Il Project Manager avvia la registrazione di una riunione dal browser, dopo aver informato i partecipanti («Avviso ai partecipanti»). L'audio viene inviato a blocchi al server di Projexa, trascritto localmente e cancellato. Dalla trascrizione Projexa ricava recap, azioni e documenti di progetto, con un modello di AI locale o con il fornitore scelto dall'utente.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4144"/>
        <w:gridCol w:w="3374"/>
      </w:tblGrid>
      <w:tr>
        <w:trPr>
          <w:tblHeader/>
        </w:trPr>
        <w:tc>
          <w:tcPr>
            <w:tcW w:type="dxa" w:w="2120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Fase</w:t>
            </w:r>
          </w:p>
        </w:tc>
        <w:tc>
          <w:tcPr>
            <w:tcW w:type="dxa" w:w="4144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Dove avviene</w:t>
            </w:r>
          </w:p>
        </w:tc>
        <w:tc>
          <w:tcPr>
            <w:tcW w:type="dxa" w:w="3374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Dati</w:t>
            </w:r>
          </w:p>
        </w:tc>
      </w:tr>
      <w:t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Registrazione</w:t>
            </w:r>
          </w:p>
        </w:tc>
        <w:tc>
          <w:tcPr>
            <w:tcW w:type="dxa" w:w="41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Browser dell'utente</w:t>
            </w:r>
          </w:p>
        </w:tc>
        <w:tc>
          <w:tcPr>
            <w:tcW w:type="dxa" w:w="33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Audio della riunione</w:t>
            </w:r>
          </w:p>
        </w:tc>
      </w:tr>
      <w:t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Trascrizione</w:t>
            </w:r>
          </w:p>
        </w:tc>
        <w:tc>
          <w:tcPr>
            <w:tcW w:type="dxa" w:w="41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Server Projexa (Oracle Cloud, Milano), modelli Whisper locali</w:t>
            </w:r>
          </w:p>
        </w:tc>
        <w:tc>
          <w:tcPr>
            <w:tcW w:type="dxa" w:w="33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Audio → testo; audio cancellato dopo la trascrizione</w:t>
            </w:r>
          </w:p>
        </w:tc>
      </w:tr>
      <w:t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Recap / documenti</w:t>
            </w:r>
          </w:p>
        </w:tc>
        <w:tc>
          <w:tcPr>
            <w:tcW w:type="dxa" w:w="41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Modello locale (Ollama) oppure fornitore scelto (OpenAI, Anthropic, Google, Mistral)</w:t>
            </w:r>
          </w:p>
        </w:tc>
        <w:tc>
          <w:tcPr>
            <w:tcW w:type="dxa" w:w="33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Testo necessario</w:t>
            </w:r>
          </w:p>
        </w:tc>
      </w:tr>
      <w:t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Assistente PM (facoltativo)</w:t>
            </w:r>
          </w:p>
        </w:tc>
        <w:tc>
          <w:tcPr>
            <w:tcW w:type="dxa" w:w="41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Google Gemini in tempo reale</w:t>
            </w:r>
          </w:p>
        </w:tc>
        <w:tc>
          <w:tcPr>
            <w:tcW w:type="dxa" w:w="33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Audio o testo della riunione</w:t>
            </w:r>
          </w:p>
        </w:tc>
      </w:tr>
      <w:t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Condivisione tra colleghi</w:t>
            </w:r>
          </w:p>
        </w:tc>
        <w:tc>
          <w:tcPr>
            <w:tcW w:type="dxa" w:w="41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Server Projexa</w:t>
            </w:r>
          </w:p>
        </w:tc>
        <w:tc>
          <w:tcPr>
            <w:tcW w:type="dxa" w:w="33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Trascrizione copiata solo a chi ha la stessa riunione nel proprio calendario collegato</w:t>
            </w:r>
          </w:p>
        </w:tc>
      </w:tr>
      <w:t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Archiviazione</w:t>
            </w:r>
          </w:p>
        </w:tc>
        <w:tc>
          <w:tcPr>
            <w:tcW w:type="dxa" w:w="41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Database Projexa, campi cifrati</w:t>
            </w:r>
          </w:p>
        </w:tc>
        <w:tc>
          <w:tcPr>
            <w:tcW w:type="dxa" w:w="33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Trascrizione, recap, azioni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Interessati:</w:t>
      </w:r>
      <w:r>
        <w:rPr>
          <w:rFonts w:ascii="Calibri" w:cs="Calibri" w:eastAsia="Calibri" w:hAnsi="Calibri"/>
          <w:sz w:val="21"/>
          <w:szCs w:val="21"/>
        </w:rPr>
        <w:t xml:space="preserve"> dipendenti e soggetti esterni presenti alle riunioni.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Dati:</w:t>
      </w:r>
      <w:r>
        <w:rPr>
          <w:rFonts w:ascii="Calibri" w:cs="Calibri" w:eastAsia="Calibri" w:hAnsi="Calibri"/>
          <w:sz w:val="21"/>
          <w:szCs w:val="21"/>
        </w:rPr>
        <w:t xml:space="preserve"> voce e identità dei partecipanti, contenuti discussi (possibili categorie particolari incidentali).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312E81"/>
          <w:sz w:val="30"/>
          <w:szCs w:val="30"/>
        </w:rPr>
        <w:t xml:space="preserve">2. Necessità e proporzionalità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Finalità determinata: recap e azioni di progetto.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Minimizzazione: audio non conservato; all'AI solo il testo necessario; nel Dossier Cliente niente anagrafica.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Trasparenza: avviso prima della registrazione (testo standard pronto) e informativa pubblicata.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Diritti: possibilità di non essere registrati e di chiedere la cancellazione (procedura richieste interessati).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Conservazione: 24 mesi dalla data della riunione (PROPOSTA da confermare), oppure prima su richiesta o alla chiusura del rapporto.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312E81"/>
          <w:sz w:val="30"/>
          <w:szCs w:val="30"/>
        </w:rPr>
        <w:t xml:space="preserve">3. Rischi e misure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964"/>
        <w:gridCol w:w="964"/>
        <w:gridCol w:w="4819"/>
      </w:tblGrid>
      <w:tr>
        <w:trPr>
          <w:tblHeader/>
        </w:trPr>
        <w:tc>
          <w:tcPr>
            <w:tcW w:type="dxa" w:w="2891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Rischio</w:t>
            </w:r>
          </w:p>
        </w:tc>
        <w:tc>
          <w:tcPr>
            <w:tcW w:type="dxa" w:w="964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Prob.</w:t>
            </w:r>
          </w:p>
        </w:tc>
        <w:tc>
          <w:tcPr>
            <w:tcW w:type="dxa" w:w="964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Impatto</w:t>
            </w:r>
          </w:p>
        </w:tc>
        <w:tc>
          <w:tcPr>
            <w:tcW w:type="dxa" w:w="4819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Misure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Accesso non autorizzato a trascrizioni e recap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Bassa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Alto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Accesso per utente e azienda, sessione HttpOnly con scadenza, cifratura AES-256-GCM, log di audit, condivisione solo tra partecipanti verificati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Partecipanti registrati senza saperlo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Bassa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Alto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Avviso standard (a voce e nell'invito), registrazione avviata manualmente, diritto di opporsi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Audio conservato oltre il necessario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Bassa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Medio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Cancellazione automatica dopo la trascrizione e dei residui entro poche ore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Trasferimento extra-UE presso il fornitore di AI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Medio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Trascrizione e AI locali disponibili; fornitore esterno solo per scelta; DPF/SCC; DPA da archiviare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Uso dei contenuti per addestrare i modelli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Bassa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Alto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Solo API con condizioni che escludono l'addestramento; vietate le chiavi gratuite di Gemini con dati personali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Decisioni automatizzate (art. 22)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Bassa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Alto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Output rivisti dall'utente; nessun effetto automatico sulle persone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Categorie particolari incidentali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Bassa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Alto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Minimizzazione, accesso ristretto, cancellazione su richiesta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312E81"/>
          <w:sz w:val="30"/>
          <w:szCs w:val="30"/>
        </w:rPr>
        <w:t xml:space="preserve">4. Esito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Rischio residuo stimato: Basso, a condizione che avviso ai partecipanti, DPA dei fornitori e conservazione siano adottati. Decisione: [procedere / procedere con condizioni]. Parere del DPO: [da acquisire]. Data e firma: [...].</w:t>
      </w:r>
    </w:p>
    <w:p>
      <w:pPr>
        <w:pBdr>
          <w:left w:val="single" w:color="F59E0B" w:sz="18" w:space="6"/>
        </w:pBdr>
        <w:shd w:fill="FFFBEB" w:color="auto" w:val="clear"/>
        <w:spacing w:after="160" w:before="120" w:line="264"/>
      </w:pPr>
      <w:r>
        <w:rPr>
          <w:rFonts w:ascii="Calibri" w:cs="Calibri" w:eastAsia="Calibri" w:hAnsi="Calibri"/>
          <w:b/>
          <w:bCs/>
          <w:color w:val="92400E"/>
          <w:sz w:val="21"/>
          <w:szCs w:val="21"/>
        </w:rPr>
        <w:t xml:space="preserve">Consultazione preventiva: </w:t>
      </w:r>
      <w:r>
        <w:rPr>
          <w:rFonts w:ascii="Calibri" w:cs="Calibri" w:eastAsia="Calibri" w:hAnsi="Calibri"/>
          <w:color w:val="92400E"/>
          <w:sz w:val="21"/>
          <w:szCs w:val="21"/>
        </w:rPr>
        <w:t xml:space="preserve">se dopo le misure resta un rischio elevato, prima di avviare il trattamento va consultato il Garante (art. 36 GDPR).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Projexa · DPIA Trascrizioni AI · pag.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312E81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312E8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DPIA Trascrizioni AI</dc:title>
  <dc:creator>Projexa</dc:creator>
  <cp:lastModifiedBy>Un-named</cp:lastModifiedBy>
  <cp:revision>1</cp:revision>
  <dcterms:created xsi:type="dcterms:W3CDTF">2026-10-17T19:56:35.031Z</dcterms:created>
  <dcterms:modified xsi:type="dcterms:W3CDTF">2026-10-17T19:56:35.031Z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