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libri" w:cs="Calibri" w:eastAsia="Calibri" w:hAnsi="Calibri"/>
          <w:b/>
          <w:bCs/>
          <w:color w:val="312E81"/>
          <w:sz w:val="44"/>
          <w:szCs w:val="44"/>
        </w:rPr>
        <w:t xml:space="preserve">PROJEXA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GDPR Gap Analysis</w:t>
      </w:r>
    </w:p>
    <w:p>
      <w:pPr>
        <w:pBdr>
          <w:bottom w:val="single" w:color="312E81" w:sz="12" w:space="8"/>
        </w:pBdr>
        <w:spacing w:after="60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Conformità al GDPR (Reg. UE 2016/679) — stato al 17 ottobre 2026</w:t>
      </w:r>
    </w:p>
    <w:p>
      <w:pPr>
        <w:spacing w:after="80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Versione del 17 ottobre 2026</w:t>
      </w:r>
    </w:p>
    <w:p>
      <w:r>
        <w:br w:type="page"/>
      </w:r>
    </w:p>
    <w:p>
      <w:pPr>
        <w:pBdr>
          <w:left w:val="single" w:color="F59E0B" w:sz="18" w:space="6"/>
        </w:pBdr>
        <w:shd w:fill="FFFBEB" w:color="auto" w:val="clear"/>
        <w:spacing w:after="160" w:before="120" w:line="264"/>
      </w:pPr>
      <w:r>
        <w:rPr>
          <w:rFonts w:ascii="Calibri" w:cs="Calibri" w:eastAsia="Calibri" w:hAnsi="Calibri"/>
          <w:b/>
          <w:bCs/>
          <w:color w:val="92400E"/>
          <w:sz w:val="21"/>
          <w:szCs w:val="21"/>
        </w:rPr>
        <w:t xml:space="preserve">Avvertenza: </w:t>
      </w:r>
      <w:r>
        <w:rPr>
          <w:rFonts w:ascii="Calibri" w:cs="Calibri" w:eastAsia="Calibri" w:hAnsi="Calibri"/>
          <w:color w:val="92400E"/>
          <w:sz w:val="21"/>
          <w:szCs w:val="21"/>
        </w:rPr>
        <w:t xml:space="preserve">documento predisposto come supporto operativo, non costituisce parere legale: la versione definitiva va validata dal DPO o da un consulente legale. I campi tra parentesi quadre vanno compilati con i dati reali del titolare. Aggiornato allo stato tecnico della piattaforma al 17 ottobre 2026 (vedi «Projexa – Architettura e sicurezza»).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1. Sintesi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La piattaforma è ospitata su Oracle Cloud in Italia e la sicurezza applicativa è stata rafforzata con tre revisioni (8 e 17 ottobre, quest'ultima con oltre 60 problemi corretti). Al 17 ottobre 2026 i punti tecnici sono chiusi; per gli adempimenti organizzativi sono pronte le bozze (informativa, avviso ai partecipanti, elenco dei sub-responsabili, procedura per gli interessati). Restano da fare le firme, le validazioni del DPO e due scelte del titolare: la conservazione delle trascrizioni e il servizio di invio delle email.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2. Quadro dei rilievi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1060"/>
        <w:gridCol w:w="3759"/>
        <w:gridCol w:w="1157"/>
      </w:tblGrid>
      <w:tr>
        <w:trPr>
          <w:tblHeader/>
        </w:trPr>
        <w:tc>
          <w:tcPr>
            <w:tcW w:type="dxa" w:w="3662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Rilievo</w:t>
            </w:r>
          </w:p>
        </w:tc>
        <w:tc>
          <w:tcPr>
            <w:tcW w:type="dxa" w:w="1060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Gravità</w:t>
            </w:r>
          </w:p>
        </w:tc>
        <w:tc>
          <w:tcPr>
            <w:tcW w:type="dxa" w:w="3759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Stato al 17 ottobre 2026</w:t>
            </w:r>
          </w:p>
        </w:tc>
        <w:tc>
          <w:tcPr>
            <w:tcW w:type="dxa" w:w="1157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Rif.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SQL editor accessibile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Critica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Risolto: solo amministratore, spento sul server di produzione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32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Utenti della stessa azienda potevano leggere/modificare i dati dei colleghi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Risolto (API generiche, griglie, elenchi collegati, campi configurabili, import)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32 / 5.1.f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Campi configurabili verso tabelle di sistema (lettura tra aziende)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Risolto il 17/10/2026: solo tabelle ammesse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32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Trascrizione di un collega ottenibile copiando titolo e ora della riunione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Risolto: condivisione solo se la riunione è nel calendario dell'utente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32 / 5.1.f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Cifratura disattivabile dal browser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Risolto: decide sempre il server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32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Token di sessione leggibile da JavaScript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Risolto: cookie HttpOnly, revoca, scadenza per inattività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32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Script inline e link «javascript:» nelle pagine (XSS)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Risolto: CSP con impronte, escape dei dati e controllo dei link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32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Brute-force sul login ed enumerazione degli account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Risolto: limiti per IP e per account, risposte identiche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32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Login Microsoft basato sul campo email modificabile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Risolto: account legato all'identificativo Microsoft (oid)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32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Email di registrazione usabili per phishing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Risolto: nome filtrato e validato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32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Staging con dati reali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Risolto: copia anonimizzata, regione UE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28 / 44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Cifratura a riposo dei dati personali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Risolto: tutte le tabelle con dati personali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32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Chiavi di cifratura esposte (ottobre 2026)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Risolto: chiavi ruotate e dati ricifrati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32 / 33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Informativa privacy completa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Bozza pronta (Informativa_Privacy.docx): da compilare con i dati del titolare, validare e pubblicare in privacy.html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13/14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Trascrizioni: informazione ai partecipanti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Bozza pronta (Avviso_Partecipanti_Riunioni.docx): da adottare come prassi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6 / 13 / 14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DPA con i fornitori e trasferimenti extra-UE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Elenco pronto (Sub-responsabili_e_Trasferimenti.docx): accordi da accettare/archiviare; Gmail gratuito da sostituire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28 / 44-49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Diritti dell'interessato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Procedura pronta (Procedura_Richieste_Interessati.docx): da adottare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12-22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Conservazione di trascrizioni e recap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Proposta: 24 mesi dalla riunione; da confermare e poi automatizzare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5.1.e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dei trattamenti (RoPA) e DPIA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Aggiornati: da validare e firmare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30 / 35</w:t>
            </w:r>
          </w:p>
        </w:tc>
      </w:tr>
      <w:tr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DPO e procedura data breach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Procedura aggiornata; nomina DPO da valutare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Art. 33/34/37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3. Interventi tecnici applicati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Hosting in Italia (Oracle Cloud, Milano); database non esposti su internet; backup in Italia; staging anonimizzato in UE.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Sessione: cookie HttpOnly/Secure/SameSite=Strict, revoca al logout e al cambio password, scadenza per inattività e massima.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Isolamento per azienda e per utente su API, griglie, elenchi collegati e import; condivisioni gestite solo dal proprietario; vista Manager in sola lettura limitata a clienti, progetti e fatturato.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Content-Security-Policy con impronte degli script; escape dei dati nelle pagine; link limitati a http(s), mailto e percorsi.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Log di audit su database separato: accessi, variazioni con valori prima/dopo, email inviate.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Cifratura AES-256-GCM dei token delle integrazioni e di tutti i campi con dati personali; il flag di cifratura lo decide solo il server.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Login Microsoft legato all'identificativo dell'account Microsoft; creazione di nuovi utenti riservata ai super-utenti.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Protezioni contro file malevoli (archivi Office «zip bomb») e richieste eccessive (limiti su push MySupport, chatbot, Assistente PM, log).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4. Azioni residue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76"/>
        <w:gridCol w:w="1253"/>
        <w:gridCol w:w="2409"/>
      </w:tblGrid>
      <w:tr>
        <w:trPr>
          <w:tblHeader/>
        </w:trPr>
        <w:tc>
          <w:tcPr>
            <w:tcW w:type="dxa" w:w="5976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Azione</w:t>
            </w:r>
          </w:p>
        </w:tc>
        <w:tc>
          <w:tcPr>
            <w:tcW w:type="dxa" w:w="1253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Priorità</w:t>
            </w:r>
          </w:p>
        </w:tc>
        <w:tc>
          <w:tcPr>
            <w:tcW w:type="dxa" w:w="2409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Responsabile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Compilare i dati del titolare e pubblicare l'informativa (privacy.html)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[Titolare / Legale]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Accettare e archiviare i DPA dei fornitori in uso (Oracle, Neon, Google, Microsoft, OpenAI, Anthropic, Mistral)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[Titolare]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Sostituire il Gmail gratuito per le email di servizio (Google Workspace o servizio con DPA in UE)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[Titolare / IT]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Usare solo chiavi Gemini a pagamento quando si trattano dati personali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[IT]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Confermare la conservazione delle trascrizioni (proposta 24 mesi) e attivarne la cancellazione automatica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[Titolare] → [IT]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Validare RoPA e DPIA, adottare avviso ai partecipanti e procedura richieste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[DPO / Titolare]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 di penetrazione indipendente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[Titolare]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Projexa · GDPR Gap Analysis · pag.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312E81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312E8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GDPR Gap Analysis</dc:title>
  <dc:creator>Projexa</dc:creator>
  <cp:lastModifiedBy>Un-named</cp:lastModifiedBy>
  <cp:revision>1</cp:revision>
  <dcterms:created xsi:type="dcterms:W3CDTF">2026-10-17T19:56:34.842Z</dcterms:created>
  <dcterms:modified xsi:type="dcterms:W3CDTF">2026-10-17T19:56:34.844Z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