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Procedura Data Breach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Gestione delle violazioni di dati personali (artt. 33 e 34 GDPR)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22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Ruoli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Ruolo</w:t>
            </w:r>
          </w:p>
        </w:tc>
        <w:tc>
          <w:tcPr>
            <w:tcW w:type="dxa" w:w="674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Riferimento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Referente sicurezza / IT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[NOME / EMAIL]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DPO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[NOME / EMAIL]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Titolare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[RAGIONE SOCIALE]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Canale di segnalazione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team.italia.projexa@gmail.com · [TELEFONO]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Aziende clienti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la violazione riguarda dati di cui l'azienda cliente è titolare, Projexa (responsabile) la informa senza ingiustificato ritardo (art. 33.2).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Fasi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Rilevazione:</w:t>
      </w:r>
      <w:r>
        <w:rPr>
          <w:rFonts w:ascii="Calibri" w:cs="Calibri" w:eastAsia="Calibri" w:hAnsi="Calibri"/>
          <w:sz w:val="21"/>
          <w:szCs w:val="21"/>
        </w:rPr>
        <w:t xml:space="preserve"> segnalazione immediata al referente, con data e ora.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Contenimento:</w:t>
      </w:r>
      <w:r>
        <w:rPr>
          <w:rFonts w:ascii="Calibri" w:cs="Calibri" w:eastAsia="Calibri" w:hAnsi="Calibri"/>
          <w:sz w:val="21"/>
          <w:szCs w:val="21"/>
        </w:rPr>
        <w:t xml:space="preserve"> vedi strumenti al punto 3.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Valutazione del rischio</w:t>
      </w:r>
      <w:r>
        <w:rPr>
          <w:rFonts w:ascii="Calibri" w:cs="Calibri" w:eastAsia="Calibri" w:hAnsi="Calibri"/>
          <w:sz w:val="21"/>
          <w:szCs w:val="21"/>
        </w:rPr>
        <w:t xml:space="preserve"> per gli interessati: tipo di dati, numero di persone, gravità.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Notifica al Garante entro 72 ore</w:t>
      </w:r>
      <w:r>
        <w:rPr>
          <w:rFonts w:ascii="Calibri" w:cs="Calibri" w:eastAsia="Calibri" w:hAnsi="Calibri"/>
          <w:sz w:val="21"/>
          <w:szCs w:val="21"/>
        </w:rPr>
        <w:t xml:space="preserve"> se c'è un rischio (art. 33); comunicazione agli interessati se il rischio è elevato (art. 34).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Registrazione</w:t>
      </w:r>
      <w:r>
        <w:rPr>
          <w:rFonts w:ascii="Calibri" w:cs="Calibri" w:eastAsia="Calibri" w:hAnsi="Calibri"/>
          <w:sz w:val="21"/>
          <w:szCs w:val="21"/>
        </w:rPr>
        <w:t xml:space="preserve"> nel registro delle violazioni (art. 33.5), anche se non notificata.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Correttivi</w:t>
      </w:r>
      <w:r>
        <w:rPr>
          <w:rFonts w:ascii="Calibri" w:cs="Calibri" w:eastAsia="Calibri" w:hAnsi="Calibri"/>
          <w:sz w:val="21"/>
          <w:szCs w:val="21"/>
        </w:rPr>
        <w:t xml:space="preserve"> e aggiornamento di questa procedura.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Strumenti tecnici disponibili in Projexa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Esigenza</w:t>
            </w:r>
          </w:p>
        </w:tc>
        <w:tc>
          <w:tcPr>
            <w:tcW w:type="dxa" w:w="674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Strumento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Capire chi ha fatto cosa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di audit su Oracle (accessi, variazioni prima/dopo, email), consultabili ed esportabili in CSV dalla pagina Monitor › Log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Bloccare una sessione rubata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Logout dell'utente (revoca) o cambio della sua password: tutte le sessioni decadono; togliere l'utente dall'azienda ha effetto entro un minuto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Bloccare un token di integrazione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Scollegare l'integrazione dall'app e revocare l'accesso presso Google/Microsoft/Atlassian; per MySupport generare un nuovo token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Violazione presso un fornitore di AI esterno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Nella valutazione del rischio considerare che il fornitore ha ricevuto testi pseudonimizzati (senza nomi, recapiti e codici, sostituiti da segnaposto) e che le corrispondenze restano solo sul server Projexa; per fermare gli invii scollegare la chiave AI o usare l'AI locale «Projexa»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Chiave di cifratura compromessa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Rotazione della chiave con decifratura e ricifratura dei dati (funzione «Migrazione Crypto»)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Segreti del server compromessi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Rotazione di JWT_SECRET (tutte le sessioni decadono), password applicative e client secret OAuth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 persi o alterati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Ripristino da backup (giornalieri 30 giorni, mensili 12 mesi) su database di prova, poi in produzione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Problema di una pagina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Interruttore di emergenza della politica di sicurezza dei contenuti (CSP_UNSAFE_INLINE) solo per ripristinare il servizio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Registro delle violazioni (modello)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626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Data/ora della scoperta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 e interessati coinvolti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Causa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Contenimento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Rischio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[Basso / Medio / Alto]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 al Garante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[Sì/No] — data [...]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Comunicazione agli interessati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[Sì/No] — data [...]</w:t>
            </w:r>
          </w:p>
        </w:tc>
      </w:tr>
      <w:tr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Correttivi</w:t>
            </w:r>
          </w:p>
        </w:tc>
        <w:tc>
          <w:tcPr>
            <w:tcW w:type="dxa" w:w="62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Garante per la protezione dei dati personali: www.garanteprivacy.it (notifica online delle violazioni).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Procedura Data Breach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Data Breach</dc:title>
  <dc:creator>Projexa</dc:creator>
  <cp:lastModifiedBy>Un-named</cp:lastModifiedBy>
  <cp:revision>1</cp:revision>
  <dcterms:created xsi:type="dcterms:W3CDTF">2026-10-17T10:31:22.291Z</dcterms:created>
  <dcterms:modified xsi:type="dcterms:W3CDTF">2026-10-17T10:31:22.291Z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