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120" w:before="1800"/></w:pPr><w:r><w:rPr><w:rFonts w:ascii="Calibri" w:cs="Calibri" w:eastAsia="Calibri" w:hAnsi="Calibri"/><w:b/><w:bCs/><w:color w:val="312E81"/><w:sz w:val="44"/><w:szCs w:val="44"/></w:rPr><w:t xml:space="preserve">PROJEXA</w:t></w:r></w:p><w:p><w:pPr><w:spacing w:after="160"/></w:pPr><w:r><w:rPr><w:rFonts w:ascii="Calibri" w:cs="Calibri" w:eastAsia="Calibri" w:hAnsi="Calibri"/><w:b/><w:bCs/><w:sz w:val="36"/><w:szCs w:val="36"/></w:rPr><w:t xml:space="preserve">Sub-responsabili e trasferimenti extra-UE</w:t></w:r></w:p><w:p><w:pPr><w:pBdr><w:bottom w:val="single" w:color="312E81" w:sz="12" w:space="8"/></w:pBdr><w:spacing w:after="600"/></w:pPr><w:r><w:rPr><w:rFonts w:ascii="Calibri" w:cs="Calibri" w:eastAsia="Calibri" w:hAnsi="Calibri"/><w:color w:val="6B7280"/><w:sz w:val="24"/><w:szCs w:val="24"/></w:rPr><w:t xml:space="preserve">Elenco dei fornitori che trattano dati per conto di Projexa (artt. 28 e 44-49 GDPR)</w:t></w:r></w:p><w:p><w:pPr><w:spacing w:after="80"/></w:pPr><w:r><w:rPr><w:rFonts w:ascii="Calibri" w:cs="Calibri" w:eastAsia="Calibri" w:hAnsi="Calibri"/><w:color w:val="6B7280"/><w:sz w:val="21"/><w:szCs w:val="21"/></w:rPr><w:t xml:space="preserve">Versione del 22 ottobre 2026</w:t></w:r></w:p><w:p><w:r><w:br w:type="page"/></w:r></w:p><w:p><w:pPr><w:pBdr><w:left w:val="single" w:color="F59E0B" w:sz="18" w:space="6"/></w:pBdr><w:shd w:fill="FFFBEB" w:color="auto" w:val="clear"/><w:spacing w:after="160" w:before="120" w:line="264"/></w:pPr><w:r><w:rPr><w:rFonts w:ascii="Calibri" w:cs="Calibri" w:eastAsia="Calibri" w:hAnsi="Calibri"/><w:b/><w:bCs/><w:color w:val="92400E"/><w:sz w:val="21"/><w:szCs w:val="21"/></w:rPr><w:t xml:space="preserve">Avvertenza: </w:t></w:r><w:r><w:rPr><w:rFonts w:ascii="Calibri" w:cs="Calibri" w:eastAsia="Calibri" w:hAnsi="Calibri"/><w:color w:val="92400E"/><w:sz w:val="21"/><w:szCs w:val="21"/></w:rPr>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</w:r></w:p><w:p><w:pPr><w:pStyle w:val="Heading1"/><w:spacing w:after="160" w:before="360"/></w:pPr><w:r><w:rPr><w:rFonts w:ascii="Calibri" w:cs="Calibri" w:eastAsia="Calibri" w:hAnsi="Calibri"/><w:b/><w:bCs/><w:color w:val="312E81"/><w:sz w:val="30"/><w:szCs w:val="30"/></w:rPr><w:t xml:space="preserve">1. Elenco</w:t></w:r></w:p><w:tbl><w:tblPr><w:tblW w:type="dxa" w:w="9638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349"/><w:gridCol w:w="1928"/><w:gridCol w:w="1928"/><w:gridCol w:w="1253"/><w:gridCol w:w="1446"/><w:gridCol w:w="1734"/></w:tblGrid><w:tr><w:trPr><w:tblHeader/></w:trPr><w:tc><w:tcPr><w:tcW w:type="dxa" w:w="1349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Fornitore</w:t></w:r></w:p></w:tc><w:tc><w:tcPr><w:tcW w:type="dxa" w:w="1928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Servizio</w:t></w:r></w:p></w:tc><w:tc><w:tcPr><w:tcW w:type="dxa" w:w="1928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Dati</w:t></w:r></w:p></w:tc><w:tc><w:tcPr><w:tcW w:type="dxa" w:w="1253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Sede del trattamento</w:t></w:r></w:p></w:tc><w:tc><w:tcPr><w:tcW w:type="dxa" w:w="1446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Garanzia per il trasferimento</w:t></w:r></w:p></w:tc><w:tc><w:tcPr><w:tcW w:type="dxa" w:w="1734"/><w:shd w:fill="EEF2FF" w:color="auto" w:val="clear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/><w:bCs/><w:color w:val="312E81"/><w:sz w:val="19"/><w:szCs w:val="19"/></w:rPr><w:t xml:space="preserve">Accordo (DPA)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Oracle (Oracle Cloud Infrastructure)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Server applicativo, database, backup, trascrizione e AI locali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Tutti i dati della piattaforma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Italia (regione Milano)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Nessun trasferimento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DPA Oracle (Data Processing Agreement OCI) — [da accettare/archiviare]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Oracle (Autonomous Database)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Log di audit (accessi, variazioni, email)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Log con identificativi, IP, valori prima/dopo (password e token mascherati)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[Regione del database di audit]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Nessuno se in UE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Stesso DPA Oracle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Neon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Ambiente di prova (staging)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Solo copia ANONIMIZZATA: nessun dato personale né token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UE (Francoforte, eu-central-1)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Nessun trasferimento; dati anonimi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DPA Neon — [da accettare/archiviare]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OVH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Registrazione del dominio projexa.it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Dati del titolare del dominio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Francia (UE)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Nessun trasferimento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Condizioni OVH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Google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Accesso con Google, calendario, invio email di servizio (Gmail), AI Gemini e chatbot (se usati)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Email e nome dell&apos;utente, eventi, email di servizio; per Gemini il testo inviato (pseudonimizzato)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UE/USA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Data Privacy Framework UE-USA e Clausole contrattuali standard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Cloud Data Processing Addendum — [vedi nota Gmail e Gemini]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Microsoft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Accesso con Microsoft, calendario Outlook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Email e nome dell&apos;utente, identificativo Microsoft, eventi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UE/USA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Data Privacy Framework e Clausole contrattuali standard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Microsoft Products and Services DPA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Atlassian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Jira (solo se collegato dall&apos;utente)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Ticket e campi Jira letti con l&apos;account dell&apos;utente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Secondo l&apos;istanza Jira del cliente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Secondo l&apos;istanza (DPF / SCC)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Atlassian DPA (dell&apos;azienda cliente)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OpenAI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AI per recap e documenti (solo se scelta dall&apos;utente)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Testo della trascrizione o dati di progetto necessari, pseudonimizzati (nomi, recapiti e codici sostituiti da segnaposto)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USA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Data Privacy Framework e Clausole contrattuali standard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OpenAI DPA — [da accettare]; via API i dati non sono usati per l&apos;addestramento (condizioni standard)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Anthropic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AI per recap e documenti (solo se scelta dall&apos;utente)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Come sopra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USA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Clausole contrattuali standard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Anthropic DPA (incluso nelle condizioni commerciali) — [da archiviare]</w:t></w:r></w:p></w:tc></w:tr><w:tr><w:tc><w:tcPr><w:tcW w:type="dxa" w:w="1349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Mistral AI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AI per recap e documenti (solo se scelta dall&apos;utente)</w:t></w:r></w:p></w:tc><w:tc><w:tcPr><w:tcW w:type="dxa" w:w="1928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Come sopra</w:t></w:r></w:p></w:tc><w:tc><w:tcPr><w:tcW w:type="dxa" w:w="1253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Francia (UE)</w:t></w:r></w:p></w:tc><w:tc><w:tcPr><w:tcW w:type="dxa" w:w="1446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Nessun trasferimento</w:t></w:r></w:p></w:tc><w:tc><w:tcPr><w:tcW w:type="dxa" w:w="1734"/><w:tcMar><w:top w:type="dxa" w:w="60"/><w:left w:type="dxa" w:w="90"/><w:bottom w:type="dxa" w:w="60"/><w:right w:type="dxa" w:w="90"/></w:tcMar></w:tcPr><w:p><w:pPr><w:spacing w:after="40"/></w:pPr><w:r><w:rPr><w:rFonts w:ascii="Calibri" w:cs="Calibri" w:eastAsia="Calibri" w:hAnsi="Calibri"/><w:b w:val="false"/><w:bCs w:val="false"/><w:sz w:val="19"/><w:szCs w:val="19"/></w:rPr><w:t xml:space="preserve">Mistral DPA — [da accettare]</w:t></w:r></w:p></w:tc></w:tr></w:tbl><w:p><w:pPr><w:pStyle w:val="Heading1"/><w:spacing w:after="160" w:before="360"/></w:pPr><w:r><w:rPr><w:rFonts w:ascii="Calibri" w:cs="Calibri" w:eastAsia="Calibri" w:hAnsi="Calibri"/><w:b/><w:bCs/><w:color w:val="312E81"/><w:sz w:val="30"/><w:szCs w:val="30"/></w:rPr><w:t xml:space="preserve">2. Note e azioni</w:t></w:r></w:p><w:p><w:pPr><w:pStyle w:val="ListParagraph"/><w:numPr><w:ilvl w:val="0"/><w:numId w:val="2"/></w:numPr><w:spacing w:after="80" w:line="264"/></w:pPr><w:r><w:rPr><w:rFonts w:ascii="Calibri" w:cs="Calibri" w:eastAsia="Calibri" w:hAnsi="Calibri"/><w:b/><w:bCs/><w:sz w:val="21"/><w:szCs w:val="21"/></w:rPr><w:t xml:space="preserve">Gmail per le email di servizio:</w:t></w:r><w:r><w:rPr><w:rFonts w:ascii="Calibri" w:cs="Calibri" w:eastAsia="Calibri" w:hAnsi="Calibri"/><w:sz w:val="21"/><w:szCs w:val="21"/></w:rPr><w:t xml:space="preserve"> oggi le email (conferma iscrizione, reset password, magic link) partono da un account Gmail personale (team.italia.projexa@gmail.com). Per un account Gmail gratuito Google non offre un accordo di trattamento (DPA): per essere in regola serve passare a Google Workspace oppure a un servizio di invio email con DPA e server in UE.</w:t></w:r></w:p><w:p><w:pPr><w:pStyle w:val="ListParagraph"/><w:numPr><w:ilvl w:val="0"/><w:numId w:val="2"/></w:numPr><w:spacing w:after="80" w:line="264"/></w:pPr><w:r><w:rPr><w:rFonts w:ascii="Calibri" w:cs="Calibri" w:eastAsia="Calibri" w:hAnsi="Calibri"/><w:b/><w:bCs/><w:sz w:val="21"/><w:szCs w:val="21"/></w:rPr><w:t xml:space="preserve">Gemini gratuito:</w:t></w:r><w:r><w:rPr><w:rFonts w:ascii="Calibri" w:cs="Calibri" w:eastAsia="Calibri" w:hAnsi="Calibri"/><w:sz w:val="21"/><w:szCs w:val="21"/></w:rPr><w:t xml:space="preserve"> con le chiavi API del piano gratuito Google può usare i contenuti per migliorare i propri prodotti. Con dati personali (trascrizioni, chatbot, Assistente PM) vanno usate solo chiavi di un progetto con fatturazione attiva (piano a pagamento).</w:t></w:r></w:p><w:p><w:pPr><w:pStyle w:val="ListParagraph"/><w:numPr><w:ilvl w:val="0"/><w:numId w:val="2"/></w:numPr><w:spacing w:after="80" w:line="264"/></w:pPr><w:r><w:rPr><w:rFonts w:ascii="Calibri" w:cs="Calibri" w:eastAsia="Calibri" w:hAnsi="Calibri"/><w:b/><w:bCs/><w:sz w:val="21"/><w:szCs w:val="21"/></w:rPr><w:t xml:space="preserve">Chiavi AI dell&apos;utente:</w:t></w:r><w:r><w:rPr><w:rFonts w:ascii="Calibri" w:cs="Calibri" w:eastAsia="Calibri" w:hAnsi="Calibri"/><w:sz w:val="21"/><w:szCs w:val="21"/></w:rPr><w:t xml:space="preserve"> quando l&apos;azienda cliente usa la propria chiave del fornitore di AI, il rapporto contrattuale con quel fornitore è dell&apos;azienda cliente; Projexa si limita a inoltrare la richiesta.</w:t></w:r></w:p><w:p><w:pPr><w:pStyle w:val="ListParagraph"/><w:numPr><w:ilvl w:val="0"/><w:numId w:val="2"/></w:numPr><w:spacing w:after="80" w:line="264"/></w:pPr><w:r><w:rPr><w:rFonts w:ascii="Calibri" w:cs="Calibri" w:eastAsia="Calibri" w:hAnsi="Calibri"/><w:b/><w:bCs/><w:sz w:val="21"/><w:szCs w:val="21"/></w:rPr><w:t xml:space="preserve">Trascrizione e AI locale:</w:t></w:r><w:r><w:rPr><w:rFonts w:ascii="Calibri" w:cs="Calibri" w:eastAsia="Calibri" w:hAnsi="Calibri"/><w:sz w:val="21"/><w:szCs w:val="21"/></w:rPr><w:t xml:space="preserve"> la trascrizione (Whisper, Parakeet), l'AI locale «Projexa» (Ollama) e il servizio di anonimizzazione (Presidio) girano sul server Oracle in Italia: nessun fornitore esterno riceve l&apos;audio.</w:t></w:r></w:p><w:p><w:pPr><w:pStyle w:val="ListParagraph"/><w:numPr><w:ilvl w:val="0"/><w:numId w:val="2"/></w:numPr><w:spacing w:after="80" w:line="264"/></w:pPr><w:r><w:rPr><w:rFonts w:ascii="Calibri" w:cs="Calibri" w:eastAsia="Calibri" w:hAnsi="Calibri"/><w:b/><w:bCs/><w:sz w:val="21"/><w:szCs w:val="21"/></w:rPr><w:t xml:space="preserve">Anonymization Layer &lt;/w:t&gt;</w:r><w:r><w:rPr><w:rFonts w:ascii="Calibri" w:cs="Calibri" w:eastAsia="Calibri" w:hAnsi="Calibri"/><w:sz w:val="21"/><w:szCs w:val="21"/></w:rPr><w:t xml:space="preserve">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 Riduce il rischio dei trasferimenti verso i fornitori USA, ma non sostituisce DPA e garanzie (DPF/SCC), che restano necessari.</w:t></w:r></w:p><w:p><w:pPr><w:pStyle w:val="Heading1"/><w:spacing w:after="160" w:before="360"/></w:pPr><w:r><w:rPr><w:rFonts w:ascii="Calibri" w:cs="Calibri" w:eastAsia="Calibri" w:hAnsi="Calibri"/><w:b/><w:bCs/><w:color w:val="312E81"/><w:sz w:val="30"/><w:szCs w:val="30"/></w:rPr><w:t xml:space="preserve">3. Cosa fare per ogni fornitore</w:t></w:r></w:p><w:p><w:pPr><w:pStyle w:val="ListParagraph"/><w:numPr><w:ilvl w:val="0"/><w:numId w:val="2"/></w:numPr><w:spacing w:after="80" w:line="264"/></w:pPr><w:r><w:rPr><w:rFonts w:ascii="Calibri" w:cs="Calibri" w:eastAsia="Calibri" w:hAnsi="Calibri"/><w:sz w:val="21"/><w:szCs w:val="21"/></w:rPr><w:t xml:space="preserve">☐ Scaricare e archiviare l&apos;accordo di trattamento (in genere si accetta online nella console del fornitore) con data e versione.</w:t></w:r></w:p><w:p><w:pPr><w:pStyle w:val="ListParagraph"/><w:numPr><w:ilvl w:val="0"/><w:numId w:val="2"/></w:numPr><w:spacing w:after="80" w:line="264"/></w:pPr><w:r><w:rPr><w:rFonts w:ascii="Calibri" w:cs="Calibri" w:eastAsia="Calibri" w:hAnsi="Calibri"/><w:sz w:val="21"/><w:szCs w:val="21"/></w:rPr><w:t xml:space="preserve">☐ Verificare la regione dei dati nella console (Oracle: Milano; Neon: eu-central-1; database di audit: [regione]).</w:t></w:r></w:p><w:p><w:pPr><w:pStyle w:val="ListParagraph"/><w:numPr><w:ilvl w:val="0"/><w:numId w:val="2"/></w:numPr><w:spacing w:after="80" w:line="264"/></w:pPr><w:r><w:rPr><w:rFonts w:ascii="Calibri" w:cs="Calibri" w:eastAsia="Calibri" w:hAnsi="Calibri"/><w:sz w:val="21"/><w:szCs w:val="21"/></w:rPr><w:t xml:space="preserve">☐ Per i fornitori USA: verificare l&apos;adesione al Data Privacy Framework (dataprivacyframework.gov) o la presenza delle Clausole contrattuali standard.</w:t></w:r></w:p><w:p><w:pPr><w:pStyle w:val="ListParagraph"/><w:numPr><w:ilvl w:val="0"/><w:numId w:val="2"/></w:numPr><w:spacing w:after="80" w:line="264"/></w:pPr><w:r><w:rPr><w:rFonts w:ascii="Calibri" w:cs="Calibri" w:eastAsia="Calibri" w:hAnsi="Calibri"/><w:sz w:val="21"/><w:szCs w:val="21"/></w:rPr><w:t xml:space="preserve">☐ Comunicare alle aziende clienti l&apos;elenco dei sub-responsabili e ogni nuovo fornitore prima di usarlo (art. 28.2).</w:t></w:r></w:p><w:p><w:pPr><w:pStyle w:val="ListParagraph"/><w:numPr><w:ilvl w:val="0"/><w:numId w:val="2"/></w:numPr><w:spacing w:after="80" w:line="264"/></w:pPr><w:r><w:rPr><w:rFonts w:ascii="Calibri" w:cs="Calibri" w:eastAsia="Calibri" w:hAnsi="Calibri"/><w:sz w:val="21"/><w:szCs w:val="21"/></w:rPr><w:t xml:space="preserve">☐ Rivedere l&apos;elenco a ogni nuovo servizio e almeno una volta l&apos;anno.</w:t></w:r></w:p><w:sectPr><w:footerReference w:type="default" r:id="rId7"/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Sub-responsabili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Sub-responsabili</dc:title>
  <dc:creator>Projexa</dc:creator>
  <cp:lastModifiedBy>Un-named</cp:lastModifiedBy>
  <cp:revision>1</cp:revision>
  <dcterms:created xsi:type="dcterms:W3CDTF">2026-10-17T19:56:34.951Z</dcterms:created>
  <dcterms:modified xsi:type="dcterms:W3CDTF">2026-10-17T19:56:34.951Z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