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312E81"/>
          <w:sz w:val="44"/>
          <w:szCs w:val="44"/>
        </w:rPr>
        <w:t xml:space="preserve">PROJEXA</w:t>
      </w:r>
    </w:p>
    <w:p>
      <w:pPr>
        <w:spacing w:after="160"/>
      </w:pPr>
      <w:r>
        <w:rPr>
          <w:rFonts w:ascii="Calibri" w:cs="Calibri" w:eastAsia="Calibri" w:hAnsi="Calibri"/>
          <w:b/>
          <w:bCs/>
          <w:sz w:val="36"/>
          <w:szCs w:val="36"/>
        </w:rPr>
        <w:t xml:space="preserve">Informativa privacy e cookie</w:t>
      </w:r>
    </w:p>
    <w:p>
      <w:pPr>
        <w:pBdr>
          <w:bottom w:val="single" w:color="312E81" w:sz="12" w:space="8"/>
        </w:pBdr>
        <w:spacing w:after="600"/>
      </w:pPr>
      <w:r>
        <w:rPr>
          <w:rFonts w:ascii="Calibri" w:cs="Calibri" w:eastAsia="Calibri" w:hAnsi="Calibri"/>
          <w:color w:val="6B7280"/>
          <w:sz w:val="24"/>
          <w:szCs w:val="24"/>
        </w:rPr>
        <w:t xml:space="preserve">Informativa resa ai sensi degli artt. 13 e 14 del GDPR agli utenti di Projexa e alle persone i cui dati sono trattati nella piattaforma</w:t>
      </w:r>
    </w:p>
    <w:p>
      <w:pPr>
        <w:spacing w:after="80"/>
      </w:pPr>
      <w:r>
        <w:rPr>
          <w:rFonts w:ascii="Calibri" w:cs="Calibri" w:eastAsia="Calibri" w:hAnsi="Calibri"/>
          <w:color w:val="6B7280"/>
          <w:sz w:val="21"/>
          <w:szCs w:val="21"/>
        </w:rPr>
        <w:t xml:space="preserve">Versione del 28 ottobre 2026</w:t>
      </w:r>
    </w:p>
    <w:p>
      <w:r>
        <w:br w:type="page"/>
      </w:r>
    </w:p>
    <w:p>
      <w:pPr>
        <w:pBdr>
          <w:left w:val="single" w:color="F59E0B" w:sz="18" w:space="6"/>
        </w:pBdr>
        <w:shd w:fill="FFFBEB" w:color="auto" w:val="clear"/>
        <w:spacing w:after="160" w:before="120" w:line="264"/>
      </w:pPr>
      <w:r>
        <w:rPr>
          <w:rFonts w:ascii="Calibri" w:cs="Calibri" w:eastAsia="Calibri" w:hAnsi="Calibri"/>
          <w:b/>
          <w:bCs/>
          <w:color w:val="92400E"/>
          <w:sz w:val="21"/>
          <w:szCs w:val="21"/>
        </w:rPr>
        <w:t xml:space="preserve">Avvertenza: </w:t>
      </w:r>
      <w:r>
        <w:rPr>
          <w:rFonts w:ascii="Calibri" w:cs="Calibri" w:eastAsia="Calibri" w:hAnsi="Calibri"/>
          <w:color w:val="92400E"/>
          <w:sz w:val="21"/>
          <w:szCs w:val="21"/>
        </w:rPr>
        <w:t xml:space="preserve">documento predisposto come supporto operativo, non costituisce parere legale: la versione definitiva va validata dal DPO o da un consulente legale. I campi tra parentesi quadre vanno compilati con i dati reali del titolare. Aggiornato allo stato tecnico della piattaforma al 17 ottobre 2026 (vedi «Projexa – Architettura e sicurezza»).</w:t>
      </w:r>
    </w:p>
    <w:p>
      <w:pPr>
        <w:pBdr>
          <w:left w:val="single" w:color="F59E0B" w:sz="18" w:space="6"/>
        </w:pBdr>
        <w:shd w:fill="FFFBEB" w:color="auto" w:val="clear"/>
        <w:spacing w:after="160" w:before="120" w:line="264"/>
      </w:pPr>
      <w:r>
        <w:rPr>
          <w:rFonts w:ascii="Calibri" w:cs="Calibri" w:eastAsia="Calibri" w:hAnsi="Calibri"/>
          <w:b/>
          <w:bCs/>
          <w:color w:val="92400E"/>
          <w:sz w:val="21"/>
          <w:szCs w:val="21"/>
        </w:rPr>
        <w:t xml:space="preserve">Uso: </w:t>
      </w:r>
      <w:r>
        <w:rPr>
          <w:rFonts w:ascii="Calibri" w:cs="Calibri" w:eastAsia="Calibri" w:hAnsi="Calibri"/>
          <w:color w:val="92400E"/>
          <w:sz w:val="21"/>
          <w:szCs w:val="21"/>
        </w:rPr>
        <w:t xml:space="preserve">questo testo sostituisce il modello della pagina privacy.html. Una volta compilati i campi tra parentesi quadre e validato, va pubblicato in privacy.html e linkato da login, registrazione e piè di pagina.</w:t>
      </w:r>
    </w:p>
    <w:p>
      <w:pPr>
        <w:pStyle w:val="Heading1"/>
        <w:spacing w:after="160" w:before="360"/>
      </w:pPr>
      <w:r>
        <w:rPr>
          <w:rFonts w:ascii="Calibri" w:cs="Calibri" w:eastAsia="Calibri" w:hAnsi="Calibri"/>
          <w:b/>
          <w:bCs/>
          <w:color w:val="312E81"/>
          <w:sz w:val="30"/>
          <w:szCs w:val="30"/>
        </w:rPr>
        <w:t xml:space="preserve">1. Chi siamo</w:t>
      </w:r>
    </w:p>
    <w:p>
      <w:pPr>
        <w:spacing w:after="120" w:line="276"/>
      </w:pPr>
      <w:r>
        <w:rPr>
          <w:rFonts w:ascii="Calibri" w:cs="Calibri" w:eastAsia="Calibri" w:hAnsi="Calibri"/>
          <w:sz w:val="21"/>
          <w:szCs w:val="21"/>
        </w:rPr>
        <w:t xml:space="preserve">Il titolare del trattamento dei dati degli utenti è [RAGIONE SOCIALE], con sede in [INDIRIZZO], P.IVA [P.IVA] («Projexa»). Contatti per la privacy: [EMAIL PRIVACY] (in attesa: team.italia.projexa@gmail.com). Responsabile della protezione dei dati (DPO), se nominato: [NOME / EMAIL DPO].</w:t>
      </w:r>
    </w:p>
    <w:p>
      <w:pPr>
        <w:spacing w:after="120" w:line="276"/>
      </w:pPr>
      <w:r>
        <w:rPr>
          <w:rFonts w:ascii="Calibri" w:cs="Calibri" w:eastAsia="Calibri" w:hAnsi="Calibri"/>
          <w:sz w:val="21"/>
          <w:szCs w:val="21"/>
        </w:rPr>
        <w:t xml:space="preserve">Per i dati che le aziende clienti inseriscono nella piattaforma (i loro clienti, contatti, progetti, riunioni) il titolare è l'azienda cliente e Projexa agisce come </w:t>
      </w:r>
      <w:r>
        <w:rPr>
          <w:rFonts w:ascii="Calibri" w:cs="Calibri" w:eastAsia="Calibri" w:hAnsi="Calibri"/>
          <w:b/>
          <w:bCs/>
          <w:sz w:val="21"/>
          <w:szCs w:val="21"/>
        </w:rPr>
        <w:t xml:space="preserve">responsabile del trattamento</w:t>
      </w:r>
      <w:r>
        <w:rPr>
          <w:rFonts w:ascii="Calibri" w:cs="Calibri" w:eastAsia="Calibri" w:hAnsi="Calibri"/>
          <w:sz w:val="21"/>
          <w:szCs w:val="21"/>
        </w:rPr>
        <w:t xml:space="preserve"> (art. 28 GDPR) secondo l'accordo sul trattamento dei dati stipulato con l'azienda cliente. Per l'esercizio dei diritti su questi dati ci si può rivolgere all'azienda cliente oppure a Projexa, che inoltrerà la richiesta.</w:t>
      </w:r>
    </w:p>
    <w:p>
      <w:pPr>
        <w:pStyle w:val="Heading1"/>
        <w:spacing w:after="160" w:before="360"/>
      </w:pPr>
      <w:r>
        <w:rPr>
          <w:rFonts w:ascii="Calibri" w:cs="Calibri" w:eastAsia="Calibri" w:hAnsi="Calibri"/>
          <w:b/>
          <w:bCs/>
          <w:color w:val="312E81"/>
          <w:sz w:val="30"/>
          <w:szCs w:val="30"/>
        </w:rPr>
        <w:t xml:space="preserve">2. Quali dati trattiamo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012"/>
        <w:gridCol w:w="2891"/>
      </w:tblGrid>
      <w:tr>
        <w:trPr>
          <w:tblHeader/>
        </w:trPr>
        <w:tc>
          <w:tcPr>
            <w:tcW w:type="dxa" w:w="1735"/>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Categoria</w:t>
            </w:r>
          </w:p>
        </w:tc>
        <w:tc>
          <w:tcPr>
            <w:tcW w:type="dxa" w:w="5012"/>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Dati</w:t>
            </w:r>
          </w:p>
        </w:tc>
        <w:tc>
          <w:tcPr>
            <w:tcW w:type="dxa" w:w="2891"/>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Da dove arrivano</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Account</w:t>
            </w:r>
          </w:p>
        </w:tc>
        <w:tc>
          <w:tcPr>
            <w:tcW w:type="dxa" w:w="501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Nome, cognome, email, impronta della password (mai la password in chiaro), azienda e ruolo, identificativo dell'account Google o Microsoft se usato per l'accesso</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Dall'utente o dall'amministratore della sua azienda</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Sicurezza e utilizzo</w:t>
            </w:r>
          </w:p>
        </w:tc>
        <w:tc>
          <w:tcPr>
            <w:tcW w:type="dxa" w:w="501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Log di accesso (data, ora, IP, browser, esito), registro delle modifiche ai dati con valori precedenti e nuovi, email di servizio inviate (tipo, destinatario, esito; mai il testo)</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Generati dalla piattaforma</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Dati di lavoro</w:t>
            </w:r>
          </w:p>
        </w:tc>
        <w:tc>
          <w:tcPr>
            <w:tcW w:type="dxa" w:w="501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Clienti, contatti dei clienti (nominativo, email, telefono, ruolo), progetti, attività, costi, ticket di assistenza, documenti di progetto</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Inseriti dagli utenti o importati da sistemi aziendali (es. MySupport, Jira)</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Riunioni</w:t>
            </w:r>
          </w:p>
        </w:tc>
        <w:tc>
          <w:tcPr>
            <w:tcW w:type="dxa" w:w="501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Audio (temporaneo), trascrizione, recap, azioni, nominativi dei partecipanti, impronte vocali temporanee per distinguere chi parla</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Registrazione avviata dall'utente; elenco dal calendario collegato</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Servizi collegati</w:t>
            </w:r>
          </w:p>
        </w:tc>
        <w:tc>
          <w:tcPr>
            <w:tcW w:type="dxa" w:w="501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Eventi del calendario Google/Outlook, ticket Jira</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Solo se l'utente collega il servizio</w:t>
            </w:r>
          </w:p>
        </w:tc>
      </w:tr>
    </w:tbl>
    <w:p>
      <w:pPr>
        <w:pStyle w:val="Heading1"/>
        <w:spacing w:after="160" w:before="360"/>
      </w:pPr>
      <w:r>
        <w:rPr>
          <w:rFonts w:ascii="Calibri" w:cs="Calibri" w:eastAsia="Calibri" w:hAnsi="Calibri"/>
          <w:b/>
          <w:bCs/>
          <w:color w:val="312E81"/>
          <w:sz w:val="30"/>
          <w:szCs w:val="30"/>
        </w:rPr>
        <w:t xml:space="preserve">3. Perché li trattiamo e su quale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Finalità</w:t>
            </w:r>
          </w:p>
        </w:tc>
        <w:tc>
          <w:tcPr>
            <w:tcW w:type="dxa" w:w="4337"/>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Base giuridica</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Fornire il servizio e gestire l'account</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Esecuzione del contratto (art. 6.1.b)</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Sicurezza, prevenzione degli abusi, log di audit</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Legittimo interesse a proteggere la piattaforma e i dati (art. 6.1.f)</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Registrazione e trascrizione delle riunioni, recap con l'AI</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Per conto dell'azienda cliente (titolare), che deve informare i partecipanti prima della registrazione (vedi «Avviso ai partecipanti»); per i propri utenti: esecuzione del contratto</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Collegamento di calendario, Jira, AI</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Richiesta dell'utente, revocabile scollegando il servizio (art. 6.1.a/b)</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Obblighi di legge (fiscali, richieste delle autorità)</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Obbligo legale (art. 6.1.c)</w:t>
            </w:r>
          </w:p>
        </w:tc>
      </w:tr>
    </w:tbl>
    <w:p>
      <w:pPr>
        <w:spacing w:after="120" w:line="276"/>
      </w:pPr>
      <w:r>
        <w:rPr>
          <w:rFonts w:ascii="Calibri" w:cs="Calibri" w:eastAsia="Calibri" w:hAnsi="Calibri"/>
          <w:sz w:val="21"/>
          <w:szCs w:val="21"/>
        </w:rPr>
        <w:t xml:space="preserve">Non effettuiamo decisioni basate unicamente su trattamenti automatizzati che producano effetti giuridici sulle persone (art. 22): i testi prodotti dall'AI sono proposte che l'utente rivede. Non vendiamo dati e non li usiamo per pubblicità.</w:t>
      </w:r>
    </w:p>
    <w:p>
      <w:pPr>
        <w:pStyle w:val="Heading1"/>
        <w:spacing w:after="160" w:before="360"/>
      </w:pPr>
      <w:r>
        <w:rPr>
          <w:rFonts w:ascii="Calibri" w:cs="Calibri" w:eastAsia="Calibri" w:hAnsi="Calibri"/>
          <w:b/>
          <w:bCs/>
          <w:color w:val="312E81"/>
          <w:sz w:val="30"/>
          <w:szCs w:val="30"/>
        </w:rPr>
        <w:t xml:space="preserve">4. Intelligenza artificiale</w:t>
      </w:r>
    </w:p>
    <w:p>
      <w:pPr>
        <w:pStyle w:val="ListParagraph"/>
        <w:numPr>
          <w:ilvl w:val="0"/>
          <w:numId w:val="2"/>
        </w:numPr>
        <w:spacing w:after="80" w:line="264"/>
      </w:pPr>
      <w:r>
        <w:rPr>
          <w:rFonts w:ascii="Calibri" w:cs="Calibri" w:eastAsia="Calibri" w:hAnsi="Calibri"/>
          <w:sz w:val="21"/>
          <w:szCs w:val="21"/>
        </w:rPr>
        <w:t xml:space="preserve">La </w:t>
      </w:r>
      <w:r>
        <w:rPr>
          <w:rFonts w:ascii="Calibri" w:cs="Calibri" w:eastAsia="Calibri" w:hAnsi="Calibri"/>
          <w:b/>
          <w:bCs/>
          <w:sz w:val="21"/>
          <w:szCs w:val="21"/>
        </w:rPr>
        <w:t xml:space="preserve">trascrizione</w:t>
      </w:r>
      <w:r>
        <w:rPr>
          <w:rFonts w:ascii="Calibri" w:cs="Calibri" w:eastAsia="Calibri" w:hAnsi="Calibri"/>
          <w:sz w:val="21"/>
          <w:szCs w:val="21"/>
        </w:rPr>
        <w:t xml:space="preserve"> dell'audio avviene sul server di Projexa in Italia: l'audio non viene inviato a fornitori esterni ed è cancellato subito dopo la trascrizione. Per distinguere nella trascrizione le voci dei partecipanti (Partecipante 1, 2…) il server calcola impronte vocali numeriche: non servono a riconoscere le persone, non lasciano il server in Italia e sono cancellate entro 48 ore.</w:t>
      </w:r>
    </w:p>
    <w:p>
      <w:pPr>
        <w:pStyle w:val="ListParagraph"/>
        <w:numPr>
          <w:ilvl w:val="0"/>
          <w:numId w:val="2"/>
        </w:numPr>
        <w:spacing w:after="80" w:line="264"/>
      </w:pPr>
      <w:r>
        <w:rPr>
          <w:rFonts w:ascii="Calibri" w:cs="Calibri" w:eastAsia="Calibri" w:hAnsi="Calibri"/>
          <w:sz w:val="21"/>
          <w:szCs w:val="21"/>
        </w:rPr>
        <w:t xml:space="preserve">Per recap, documenti e assistente l'utente sceglie il fornitore di AI esterno (OpenAI, Anthropic, Google, Mistral). Al fornitore va solo il testo necessario; i fornitori via API non usano i dati per addestrare i modelli secondo le loro condizioni standard. Prima dell'invio Projexa sostituisce i dati personali (nomi di persone e aziende, email, telefoni, codici fiscali, IBAN e simili) con segnaposto anonimi e li rimette solo sul proprio server quando riceve la risposta (pseudonimizzazione, artt. 4.5 e 25 GDPR): il fornitore elabora il contenuto ma non sa a chi si riferisce. Immagini, PDF scansionati e audio non possono essere anonimizzati.</w:t>
      </w:r>
    </w:p>
    <w:p>
      <w:pPr>
        <w:pStyle w:val="ListParagraph"/>
        <w:numPr>
          <w:ilvl w:val="0"/>
          <w:numId w:val="2"/>
        </w:numPr>
        <w:spacing w:after="80" w:line="264"/>
      </w:pPr>
      <w:r>
        <w:rPr>
          <w:rFonts w:ascii="Calibri" w:cs="Calibri" w:eastAsia="Calibri" w:hAnsi="Calibri"/>
          <w:sz w:val="21"/>
          <w:szCs w:val="21"/>
        </w:rPr>
        <w:t xml:space="preserve">L'«Assistente PM», se attivato, invia l'audio della riunione in tempo reale all'AI scelta (Google Gemini oppure OpenAI ChatGPT), che restituisce solo suggerimenti al project manager. L'audio non viene trascritto né conservato da Projexa e non può essere anonimizzato; le domande scritte all'assistente partono anonimizzate come sopra.</w:t>
      </w:r>
    </w:p>
    <w:p>
      <w:pPr>
        <w:pStyle w:val="Heading1"/>
        <w:spacing w:after="160" w:before="360"/>
      </w:pPr>
      <w:r>
        <w:rPr>
          <w:rFonts w:ascii="Calibri" w:cs="Calibri" w:eastAsia="Calibri" w:hAnsi="Calibri"/>
          <w:b/>
          <w:bCs/>
          <w:color w:val="312E81"/>
          <w:sz w:val="30"/>
          <w:szCs w:val="30"/>
        </w:rPr>
        <w:t xml:space="preserve">5. A chi comunichiamo i dati</w:t>
      </w:r>
    </w:p>
    <w:p>
      <w:pPr>
        <w:spacing w:after="120" w:line="276"/>
      </w:pPr>
      <w:r>
        <w:rPr>
          <w:rFonts w:ascii="Calibri" w:cs="Calibri" w:eastAsia="Calibri" w:hAnsi="Calibri"/>
          <w:sz w:val="21"/>
          <w:szCs w:val="21"/>
        </w:rPr>
        <w:t xml:space="preserve">Ai fornitori che ci aiutano a erogare il servizio, nominati responsabili o sub-responsabili del trattamento con un accordo scritto: Oracle (server e database in Italia), Neon (ambiente di prova in UE, solo dati anonimizzati), Google e Microsoft (accesso, calendario, email di servizio), Atlassian (Jira, se collegato), i fornitori di AI scelti dall'utente. All'interno dell'azienda cliente, i dati sono visibili agli utenti secondo i ruoli e le condivisioni decise dall'azienda. L'elenco aggiornato dei fornitori è disponibile su richiesta.</w:t>
      </w:r>
    </w:p>
    <w:p>
      <w:pPr>
        <w:pStyle w:val="Heading1"/>
        <w:spacing w:after="160" w:before="360"/>
      </w:pPr>
      <w:r>
        <w:rPr>
          <w:rFonts w:ascii="Calibri" w:cs="Calibri" w:eastAsia="Calibri" w:hAnsi="Calibri"/>
          <w:b/>
          <w:bCs/>
          <w:color w:val="312E81"/>
          <w:sz w:val="30"/>
          <w:szCs w:val="30"/>
        </w:rPr>
        <w:t xml:space="preserve">6. Trasferimenti fuori dall'UE</w:t>
      </w:r>
    </w:p>
    <w:p>
      <w:pPr>
        <w:spacing w:after="120" w:line="276"/>
      </w:pPr>
      <w:r>
        <w:rPr>
          <w:rFonts w:ascii="Calibri" w:cs="Calibri" w:eastAsia="Calibri" w:hAnsi="Calibri"/>
          <w:sz w:val="21"/>
          <w:szCs w:val="21"/>
        </w:rPr>
        <w:t xml:space="preserve">Server, database e backup sono in Italia. Alcuni fornitori (Google, Microsoft, OpenAI, Anthropic) possono trattare dati negli Stati Uniti: il trasferimento avviene sulla base del Data Privacy Framework UE-USA e/o delle Clausole contrattuali standard approvate dalla Commissione europea (artt. 45-46 GDPR). Mistral non comporta trasferimenti extra-UE.</w:t>
      </w:r>
    </w:p>
    <w:p>
      <w:pPr>
        <w:pStyle w:val="Heading1"/>
        <w:spacing w:after="160" w:before="360"/>
      </w:pPr>
      <w:r>
        <w:rPr>
          <w:rFonts w:ascii="Calibri" w:cs="Calibri" w:eastAsia="Calibri" w:hAnsi="Calibri"/>
          <w:b/>
          <w:bCs/>
          <w:color w:val="312E81"/>
          <w:sz w:val="30"/>
          <w:szCs w:val="30"/>
        </w:rPr>
        <w:t xml:space="preserve">7. Per quanto tempo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Dati</w:t>
            </w:r>
          </w:p>
        </w:tc>
        <w:tc>
          <w:tcPr>
            <w:tcW w:type="dxa" w:w="5783"/>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Conservazione</w:t>
            </w:r>
          </w:p>
        </w:tc>
      </w:tr>
      <w:tr>
        <w:tc>
          <w:tcPr>
            <w:tcW w:type="dxa" w:w="385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Account</w:t>
            </w:r>
          </w:p>
        </w:tc>
        <w:tc>
          <w:tcPr>
            <w:tcW w:type="dxa" w:w="578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Per la durata del rapporto; cancellazione entro 30 giorni dalla richiesta o dalla fine del contratto</w:t>
            </w:r>
          </w:p>
        </w:tc>
      </w:tr>
      <w:tr>
        <w:tc>
          <w:tcPr>
            <w:tcW w:type="dxa" w:w="385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Dati di lavoro dell'azienda cliente</w:t>
            </w:r>
          </w:p>
        </w:tc>
        <w:tc>
          <w:tcPr>
            <w:tcW w:type="dxa" w:w="578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Per la durata del contratto; poi cancellati o restituiti su istruzione dell'azienda</w:t>
            </w:r>
          </w:p>
        </w:tc>
      </w:tr>
      <w:tr>
        <w:tc>
          <w:tcPr>
            <w:tcW w:type="dxa" w:w="385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Audio delle riunioni</w:t>
            </w:r>
          </w:p>
        </w:tc>
        <w:tc>
          <w:tcPr>
            <w:tcW w:type="dxa" w:w="578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Cancellato subito dopo la trascrizione (residui tecnici entro poche ore)</w:t>
            </w:r>
          </w:p>
        </w:tc>
      </w:tr>
      <w:tr>
        <w:tc>
          <w:tcPr>
            <w:tcW w:type="dxa" w:w="385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Impronte vocali</w:t>
            </w:r>
          </w:p>
        </w:tc>
        <w:tc>
          <w:tcPr>
            <w:tcW w:type="dxa" w:w="578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Cancellate automaticamente entro 48 ore</w:t>
            </w:r>
          </w:p>
        </w:tc>
      </w:tr>
      <w:tr>
        <w:tc>
          <w:tcPr>
            <w:tcW w:type="dxa" w:w="385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Trascrizioni e recap</w:t>
            </w:r>
          </w:p>
        </w:tc>
        <w:tc>
          <w:tcPr>
            <w:tcW w:type="dxa" w:w="578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24 mesi dalla data della riunione (PROPOSTA da confermare), oppure prima su richiesta o alla chiusura del rapporto</w:t>
            </w:r>
          </w:p>
        </w:tc>
      </w:tr>
      <w:tr>
        <w:tc>
          <w:tcPr>
            <w:tcW w:type="dxa" w:w="385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Log di accesso ed email inviate</w:t>
            </w:r>
          </w:p>
        </w:tc>
        <w:tc>
          <w:tcPr>
            <w:tcW w:type="dxa" w:w="578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12 mesi</w:t>
            </w:r>
          </w:p>
        </w:tc>
      </w:tr>
      <w:tr>
        <w:tc>
          <w:tcPr>
            <w:tcW w:type="dxa" w:w="385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Registro delle modifiche (prima/dopo)</w:t>
            </w:r>
          </w:p>
        </w:tc>
        <w:tc>
          <w:tcPr>
            <w:tcW w:type="dxa" w:w="578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24 mesi</w:t>
            </w:r>
          </w:p>
        </w:tc>
      </w:tr>
      <w:tr>
        <w:tc>
          <w:tcPr>
            <w:tcW w:type="dxa" w:w="385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Backup</w:t>
            </w:r>
          </w:p>
        </w:tc>
        <w:tc>
          <w:tcPr>
            <w:tcW w:type="dxa" w:w="578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30 giorni (giornalieri) e 12 mesi (mensili): un dato cancellato può restare nei backup fino alla loro scadenza</w:t>
            </w:r>
          </w:p>
        </w:tc>
      </w:tr>
      <w:tr>
        <w:tc>
          <w:tcPr>
            <w:tcW w:type="dxa" w:w="385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Risultati AI in elaborazione e file temporanei</w:t>
            </w:r>
          </w:p>
        </w:tc>
        <w:tc>
          <w:tcPr>
            <w:tcW w:type="dxa" w:w="578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7 giorni</w:t>
            </w:r>
          </w:p>
        </w:tc>
      </w:tr>
    </w:tbl>
    <w:p>
      <w:pPr>
        <w:pStyle w:val="Heading1"/>
        <w:spacing w:after="160" w:before="360"/>
      </w:pPr>
      <w:r>
        <w:rPr>
          <w:rFonts w:ascii="Calibri" w:cs="Calibri" w:eastAsia="Calibri" w:hAnsi="Calibri"/>
          <w:b/>
          <w:bCs/>
          <w:color w:val="312E81"/>
          <w:sz w:val="30"/>
          <w:szCs w:val="30"/>
        </w:rPr>
        <w:t xml:space="preserve">8. Come proteggiamo i dati</w:t>
      </w:r>
    </w:p>
    <w:p>
      <w:pPr>
        <w:spacing w:after="120" w:line="276"/>
      </w:pPr>
      <w:r>
        <w:rPr>
          <w:rFonts w:ascii="Calibri" w:cs="Calibri" w:eastAsia="Calibri" w:hAnsi="Calibri"/>
          <w:sz w:val="21"/>
          <w:szCs w:val="21"/>
        </w:rPr>
        <w:t xml:space="preserve">HTTPS/TLS e HSTS; password bcrypt; sessione in cookie HttpOnly/Secure/SameSite=Strict con scadenza per inattività (2 h) e massima (24 h), revoca al logout; limiti ai tentativi di accesso per IP e per account; isolamento per azienda e per utente; ruoli; cifratura AES-256-GCM di token e campi con dati personali; Content-Security-Policy; log di audit separato (accessi, variazioni prima/dopo); pseudonimizzazione dei dati personali prima dell'invio alle AI esterne; backup notturni cifrati in Italia.</w:t>
      </w:r>
    </w:p>
    <w:p>
      <w:pPr>
        <w:pStyle w:val="Heading1"/>
        <w:spacing w:after="160" w:before="360"/>
      </w:pPr>
      <w:r>
        <w:rPr>
          <w:rFonts w:ascii="Calibri" w:cs="Calibri" w:eastAsia="Calibri" w:hAnsi="Calibri"/>
          <w:b/>
          <w:bCs/>
          <w:color w:val="312E81"/>
          <w:sz w:val="30"/>
          <w:szCs w:val="30"/>
        </w:rPr>
        <w:t xml:space="preserve">9. I tuoi diritti</w:t>
      </w:r>
    </w:p>
    <w:p>
      <w:pPr>
        <w:spacing w:after="120" w:line="276"/>
      </w:pPr>
      <w:r>
        <w:rPr>
          <w:rFonts w:ascii="Calibri" w:cs="Calibri" w:eastAsia="Calibri" w:hAnsi="Calibri"/>
          <w:sz w:val="21"/>
          <w:szCs w:val="21"/>
        </w:rPr>
        <w:t xml:space="preserve">Puoi chiedere in qualsiasi momento l'accesso ai tuoi dati, la rettifica, la cancellazione, la limitazione, la portabilità e opporti al trattamento basato sul legittimo interesse (artt. 15-22 GDPR), e revocare i consensi dati senza pregiudicare quanto fatto prima. Scrivi a [EMAIL PRIVACY] o usa la richiesta di cancellazione nella sezione «Privacy e dati» dell'applicazione: rispondiamo entro un mese (prorogabile di due in casi complessi, avvisandoti). Hai diritto di proporre reclamo al Garante per la protezione dei dati personali (www.garanteprivacy.it).</w:t>
      </w:r>
    </w:p>
    <w:p>
      <w:pPr>
        <w:pStyle w:val="Heading1"/>
        <w:spacing w:after="160" w:before="360"/>
      </w:pPr>
      <w:r>
        <w:rPr>
          <w:rFonts w:ascii="Calibri" w:cs="Calibri" w:eastAsia="Calibri" w:hAnsi="Calibri"/>
          <w:b/>
          <w:bCs/>
          <w:color w:val="312E81"/>
          <w:sz w:val="30"/>
          <w:szCs w:val="30"/>
        </w:rPr>
        <w:t xml:space="preserve">10. Cookie e archiviazione locale</w:t>
      </w:r>
    </w:p>
    <w:p>
      <w:pPr>
        <w:spacing w:after="120" w:line="276"/>
      </w:pPr>
      <w:r>
        <w:rPr>
          <w:rFonts w:ascii="Calibri" w:cs="Calibri" w:eastAsia="Calibri" w:hAnsi="Calibri"/>
          <w:sz w:val="21"/>
          <w:szCs w:val="21"/>
        </w:rPr>
        <w:t xml:space="preserve">Projexa usa solo cookie tecnici necessari al funzionamento, che non richiedono consenso. Non usiamo cookie di profilazione né strumenti di analisi di terze parti.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337"/>
        <w:gridCol w:w="2410"/>
      </w:tblGrid>
      <w:tr>
        <w:trPr>
          <w:tblHeader/>
        </w:trPr>
        <w:tc>
          <w:tcPr>
            <w:tcW w:type="dxa" w:w="2891"/>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Nome</w:t>
            </w:r>
          </w:p>
        </w:tc>
        <w:tc>
          <w:tcPr>
            <w:tcW w:type="dxa" w:w="4337"/>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Finalità</w:t>
            </w:r>
          </w:p>
        </w:tc>
        <w:tc>
          <w:tcPr>
            <w:tcW w:type="dxa" w:w="2410"/>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Durata</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px_session</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Sessione di accesso (cookie HttpOnly, non leggibile dagli script della pagina)</w:t>
            </w:r>
          </w:p>
        </w:tc>
        <w:tc>
          <w:tcPr>
            <w:tcW w:type="dxa" w:w="241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Fino al logout; scade dopo 2 ore di inattività e comunque dopo 24 ore</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px_session_admin</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Solo per l'amministratore durante l'assistenza a un utente</w:t>
            </w:r>
          </w:p>
        </w:tc>
        <w:tc>
          <w:tcPr>
            <w:tcW w:type="dxa" w:w="241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Come la sessione</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px_oauth_state, px_oauth_login, px_link_state</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Sicurezza dell'accesso e del collegamento con Google, Microsoft e Jira</w:t>
            </w:r>
          </w:p>
        </w:tc>
        <w:tc>
          <w:tcPr>
            <w:tcW w:type="dxa" w:w="241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Massimo 10 minuti</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authToken (archiviazione locale)</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Nome, ruolo e azienda da mostrare nelle pagine (senza valore di accesso)</w:t>
            </w:r>
          </w:p>
        </w:tc>
        <w:tc>
          <w:tcPr>
            <w:tcW w:type="dxa" w:w="241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Fino al logout</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Preferenze di pagina (archiviazione locale)</w:t>
            </w:r>
          </w:p>
        </w:tc>
        <w:tc>
          <w:tcPr>
            <w:tcW w:type="dxa" w:w="433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Scelte di visualizzazione (es. zoom, ultima modalità usata)</w:t>
            </w:r>
          </w:p>
        </w:tc>
        <w:tc>
          <w:tcPr>
            <w:tcW w:type="dxa" w:w="241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Fino alla cancellazione dei dati del sito</w:t>
            </w:r>
          </w:p>
        </w:tc>
      </w:tr>
    </w:tbl>
    <w:p>
      <w:pPr>
        <w:pStyle w:val="Heading1"/>
        <w:spacing w:after="160" w:before="360"/>
      </w:pPr>
      <w:r>
        <w:rPr>
          <w:rFonts w:ascii="Calibri" w:cs="Calibri" w:eastAsia="Calibri" w:hAnsi="Calibri"/>
          <w:b/>
          <w:bCs/>
          <w:color w:val="312E81"/>
          <w:sz w:val="30"/>
          <w:szCs w:val="30"/>
        </w:rPr>
        <w:t xml:space="preserve">11. Modifiche</w:t>
      </w:r>
    </w:p>
    <w:p>
      <w:pPr>
        <w:spacing w:after="120" w:line="276"/>
      </w:pPr>
      <w:r>
        <w:rPr>
          <w:rFonts w:ascii="Calibri" w:cs="Calibri" w:eastAsia="Calibri" w:hAnsi="Calibri"/>
          <w:sz w:val="21"/>
          <w:szCs w:val="21"/>
        </w:rPr>
        <w:t xml:space="preserve">Possiamo aggiornare questa informativa; la data dell'ultimo aggiornamento è indicata in alto e le modifiche rilevanti saranno comunicate agli utenti. Ultimo aggiornamento: [DATA DI PUBBLICAZIONE].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Projexa · Informativa Privacy · pag.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312E81"/>
      <w:sz w:val="30"/>
      <w:szCs w:val="30"/>
    </w:rPr>
  </w:style>
  <w:style w:type="paragraph" w:styleId="Heading2">
    <w:name w:val="Heading 2"/>
    <w:basedOn w:val="Normal"/>
    <w:next w:val="Normal"/>
    <w:qFormat/>
    <w:pPr>
      <w:outlineLvl w:val="1"/>
    </w:pPr>
    <w:rPr>
      <w:rFonts w:ascii="Calibri" w:cs="Calibri" w:eastAsia="Calibri" w:hAnsi="Calibri"/>
      <w:b/>
      <w:bCs/>
      <w:color w:val="312E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Informativa Privacy</dc:title>
  <dc:creator>Projexa</dc:creator>
  <cp:lastModifiedBy>Un-named</cp:lastModifiedBy>
  <cp:revision>1</cp:revision>
  <dcterms:created xsi:type="dcterms:W3CDTF">2026-10-17T19:56:34.899Z</dcterms:created>
  <dcterms:modified xsi:type="dcterms:W3CDTF">2026-10-17T19:56:34.899Z</dcterms:modified>
</cp:coreProperties>
</file>

<file path=docProps/custom.xml><?xml version="1.0" encoding="utf-8"?>
<Properties xmlns="http://schemas.openxmlformats.org/officeDocument/2006/custom-properties" xmlns:vt="http://schemas.openxmlformats.org/officeDocument/2006/docPropsVTypes"/>
</file>