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Calibri" w:cs="Calibri" w:eastAsia="Calibri" w:hAnsi="Calibri"/>
          <w:b/>
          <w:bCs/>
          <w:color w:val="312E81"/>
          <w:sz w:val="44"/>
          <w:szCs w:val="44"/>
        </w:rPr>
        <w:t xml:space="preserve">PROJEXA</w:t>
      </w:r>
    </w:p>
    <w:p>
      <w:pPr>
        <w:spacing w:after="16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Sub-responsabili e trasferimenti extra-UE</w:t>
      </w:r>
    </w:p>
    <w:p>
      <w:pPr>
        <w:pBdr>
          <w:bottom w:val="single" w:color="312E81" w:sz="12" w:space="8"/>
        </w:pBdr>
        <w:spacing w:after="600"/>
      </w:pPr>
      <w:r>
        <w:rPr>
          <w:rFonts w:ascii="Calibri" w:cs="Calibri" w:eastAsia="Calibri" w:hAnsi="Calibri"/>
          <w:color w:val="6B7280"/>
          <w:sz w:val="24"/>
          <w:szCs w:val="24"/>
        </w:rPr>
        <w:t xml:space="preserve">Elenco dei fornitori che trattano dati per conto di Projexa (artt. 28 e 44-49 GDPR)</w:t>
      </w:r>
    </w:p>
    <w:p>
      <w:pPr>
        <w:spacing w:after="80"/>
      </w:pPr>
      <w:r>
        <w:rPr>
          <w:rFonts w:ascii="Calibri" w:cs="Calibri" w:eastAsia="Calibri" w:hAnsi="Calibri"/>
          <w:color w:val="6B7280"/>
          <w:sz w:val="21"/>
          <w:szCs w:val="21"/>
        </w:rPr>
        <w:t xml:space="preserve">Versione del 22 ottobre 2026</w:t>
      </w:r>
    </w:p>
    <w:p>
      <w:r>
        <w:br w:type="page"/>
      </w:r>
    </w:p>
    <w:p>
      <w:pPr>
        <w:pBdr>
          <w:left w:val="single" w:color="F59E0B" w:sz="18" w:space="6"/>
        </w:pBdr>
        <w:shd w:fill="FFFBEB" w:color="auto" w:val="clear"/>
        <w:spacing w:after="160" w:before="120" w:line="264"/>
      </w:pPr>
      <w:r>
        <w:rPr>
          <w:rFonts w:ascii="Calibri" w:cs="Calibri" w:eastAsia="Calibri" w:hAnsi="Calibri"/>
          <w:b/>
          <w:bCs/>
          <w:color w:val="92400E"/>
          <w:sz w:val="21"/>
          <w:szCs w:val="21"/>
        </w:rPr>
        <w:t xml:space="preserve">Avvertenza: </w:t>
      </w:r>
      <w:r>
        <w:rPr>
          <w:rFonts w:ascii="Calibri" w:cs="Calibri" w:eastAsia="Calibri" w:hAnsi="Calibri"/>
          <w:color w:val="92400E"/>
          <w:sz w:val="21"/>
          <w:szCs w:val="21"/>
        </w:rPr>
        <w:t xml:space="preserve">documento predisposto come supporto operativo, non costituisce parere legale: la versione definitiva va validata dal DPO o da un consulente legale. I campi tra parentesi quadre vanno compilati con i dati reali del titolare. Aggiornato allo stato tecnico della piattaforma al 17 ottobre 2026 (vedi «Projexa – Architettura e sicurezza»).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1. Elenco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49"/>
        <w:gridCol w:w="1928"/>
        <w:gridCol w:w="1928"/>
        <w:gridCol w:w="1253"/>
        <w:gridCol w:w="1446"/>
        <w:gridCol w:w="1734"/>
      </w:tblGrid>
      <w:tr>
        <w:trPr>
          <w:tblHeader/>
        </w:trPr>
        <w:tc>
          <w:tcPr>
            <w:tcW w:type="dxa" w:w="1349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Fornitore</w:t>
            </w:r>
          </w:p>
        </w:tc>
        <w:tc>
          <w:tcPr>
            <w:tcW w:type="dxa" w:w="1928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Servizio</w:t>
            </w:r>
          </w:p>
        </w:tc>
        <w:tc>
          <w:tcPr>
            <w:tcW w:type="dxa" w:w="1928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Dati</w:t>
            </w:r>
          </w:p>
        </w:tc>
        <w:tc>
          <w:tcPr>
            <w:tcW w:type="dxa" w:w="1253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Sede del trattamento</w:t>
            </w:r>
          </w:p>
        </w:tc>
        <w:tc>
          <w:tcPr>
            <w:tcW w:type="dxa" w:w="1446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Garanzia per il trasferimento</w:t>
            </w:r>
          </w:p>
        </w:tc>
        <w:tc>
          <w:tcPr>
            <w:tcW w:type="dxa" w:w="1734"/>
            <w:shd w:fill="EEF2F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312E81"/>
                <w:sz w:val="19"/>
                <w:szCs w:val="19"/>
              </w:rPr>
              <w:t xml:space="preserve">Accordo (DPA)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Oracle (Oracle Cloud Infrastructure)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Server applicativo, database, backup, trascrizione e AI locali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Tutti i dati della piattaforma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Italia (regione Milano)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Nessun trasferimento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DPA Oracle (Data Processing Agreement OCI) — [da accettare/archiviare]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Oracle (Autonomous Database)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di audit (accessi, variazioni, email)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Log con identificativi, IP, valori prima/dopo (password e token mascherati)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[Regione del database di audit]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Nessuno se in UE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Stesso DPA Oracle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Neon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Ambiente di prova (staging)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Solo copia ANONIMIZZATA: nessun dato personale né token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UE (Francoforte, eu-central-1)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Nessun trasferimento; dati anonimi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DPA Neon — [da accettare/archiviare]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OVH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Registrazione del dominio projexa.it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Dati del titolare del dominio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Francia (UE)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Nessun trasferimento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Condizioni OVH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Google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Accesso con Google, calendario, invio email di servizio (Gmail), AI Gemini e chatbot (se usati)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 e nome dell'utente, eventi, email di servizio; per Gemini il testo inviato (pseudonimizzato) e, per l'Assistente PM, l'audio della riunione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UE/USA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Privacy Framework UE-USA e Clausole contrattuali standard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Cloud Data Processing Addendum — [vedi nota Gmail e Gemini]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Microsoft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Accesso con Microsoft, calendario Outlook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Email e nome dell'utente, identificativo Microsoft, eventi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UE/USA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Privacy Framework e Clausole contrattuali standard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Microsoft Products and Services DPA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Atlassian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Jira (solo se collegato dall'utente)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Ticket e campi Jira letti con l'account dell'utente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Secondo l'istanza Jira del cliente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Secondo l'istanza (DPF / SCC)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Atlassian DPA (dell'azienda cliente)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OpenAI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per recap e documenti e Assistente PM (solo se scelta dall'utente)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Testo della trascrizione o dati di progetto necessari, pseudonimizzati (nomi, recapiti e codici sostituiti da segnaposto); per l'Assistente PM l'audio della riunione in tempo reale (non anonimizzabile)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Data Privacy Framework e Clausole contrattuali standard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OpenAI DPA — [da accettare]; via API i dati non sono usati per l'addestramento (condizioni standard)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Anthropic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per recap e documenti (solo se scelta dall'utente)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Come sopra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USA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Clausole contrattuali standard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Anthropic DPA (incluso nelle condizioni commerciali) — [da archiviare]</w:t>
            </w:r>
          </w:p>
        </w:tc>
      </w:tr>
      <w:tr>
        <w:tc>
          <w:tcPr>
            <w:tcW w:type="dxa" w:w="134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Mistral AI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 per recap e documenti (solo se scelta dall'utente)</w:t>
            </w:r>
          </w:p>
        </w:tc>
        <w:tc>
          <w:tcPr>
            <w:tcW w:type="dxa" w:w="1928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Come sopra</w:t>
            </w:r>
          </w:p>
        </w:tc>
        <w:tc>
          <w:tcPr>
            <w:tcW w:type="dxa" w:w="1253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Francia (UE)</w:t>
            </w:r>
          </w:p>
        </w:tc>
        <w:tc>
          <w:tcPr>
            <w:tcW w:type="dxa" w:w="1446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Nessun trasferimento</w:t>
            </w:r>
          </w:p>
        </w:tc>
        <w:tc>
          <w:tcPr>
            <w:tcW w:type="dxa" w:w="1734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Mistral DPA — [da accettare]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2. Note e azioni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Gmail per le email di servizio:</w:t>
      </w:r>
      <w:r>
        <w:rPr>
          <w:rFonts w:ascii="Calibri" w:cs="Calibri" w:eastAsia="Calibri" w:hAnsi="Calibri"/>
          <w:sz w:val="21"/>
          <w:szCs w:val="21"/>
        </w:rPr>
        <w:t xml:space="preserve"> oggi le email (conferma iscrizione, reset password, magic link) partono da un account Gmail personale (team.italia.projexa@gmail.com). Per un account Gmail gratuito Google non offre un accordo di trattamento (DPA): per essere in regola serve passare a Google Workspace oppure a un servizio di invio email con DPA e server in UE.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Gemini gratuito:</w:t>
      </w:r>
      <w:r>
        <w:rPr>
          <w:rFonts w:ascii="Calibri" w:cs="Calibri" w:eastAsia="Calibri" w:hAnsi="Calibri"/>
          <w:sz w:val="21"/>
          <w:szCs w:val="21"/>
        </w:rPr>
        <w:t xml:space="preserve"> con le chiavi API del piano gratuito Google può usare i contenuti per migliorare i propri prodotti. Con dati personali (trascrizioni, chatbot, Assistente PM) vanno usate solo chiavi di un progetto con fatturazione attiva (piano a pagamento).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Chiavi AI dell'utente:</w:t>
      </w:r>
      <w:r>
        <w:rPr>
          <w:rFonts w:ascii="Calibri" w:cs="Calibri" w:eastAsia="Calibri" w:hAnsi="Calibri"/>
          <w:sz w:val="21"/>
          <w:szCs w:val="21"/>
        </w:rPr>
        <w:t xml:space="preserve"> quando l'azienda cliente usa la propria chiave del fornitore di AI, il rapporto contrattuale con quel fornitore è dell'azienda cliente; Projexa si limita a inoltrare la richiesta.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Trascrizione e anonimizzazione:</w:t>
      </w:r>
      <w:r>
        <w:rPr>
          <w:rFonts w:ascii="Calibri" w:cs="Calibri" w:eastAsia="Calibri" w:hAnsi="Calibri"/>
          <w:sz w:val="21"/>
          <w:szCs w:val="21"/>
        </w:rPr>
        <w:t xml:space="preserve"> la trascrizione (Whisper, Parakeet) e il servizio di anonimizzazione (Presidio) girano sul server Oracle in Italia: nessun fornitore esterno riceve l'audio.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Anonymization Layer </w:t>
      </w:r>
      <w:r>
        <w:rPr>
          <w:rFonts w:ascii="Calibri" w:cs="Calibri" w:eastAsia="Calibri" w:hAnsi="Calibri"/>
          <w:sz w:val="21"/>
          <w:szCs w:val="21"/>
        </w:rPr>
        <w:t xml:space="preserve">(dal 22 ottobre 2026): prima di ogni invio a un'AI esterna (OpenAI, Anthropic, Google, Mistral) Projexa sostituisce i dati personali (nomi di persone e aziende, email, telefoni, IBAN, codici fiscali, partite IVA, documenti) con segnaposto anonimi, riconosciuti con i nomi già presenti in Projexa, con regole e con Microsoft Presidio + spaCy (modello italiano, sul server in Italia); i valori veri vengono rimessi solo sul server di Projexa quando arriva la risposta. Le corrispondenze restano in memoria o, per le richieste Batch, cifrate per al massimo 7 giorni. Non sono anonimizzabili immagini, PDF scansionati e audio. Riduce il rischio dei trasferimenti verso i fornitori USA, ma non sostituisce DPA e garanzie (DPF/SCC), che restano necessari.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312E81"/>
          <w:sz w:val="30"/>
          <w:szCs w:val="30"/>
        </w:rPr>
        <w:t xml:space="preserve">3. Cosa fare per ogni fornitore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☐ Scaricare e archiviare l'accordo di trattamento (in genere si accetta online nella console del fornitore) con data e versione.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☐ Verificare la regione dei dati nella console (Oracle: Milano; Neon: eu-central-1; database di audit: [regione]).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☐ Per i fornitori USA: verificare l'adesione al Data Privacy Framework (dataprivacyframework.gov) o la presenza delle Clausole contrattuali standard.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☐ Comunicare alle aziende clienti l'elenco dei sub-responsabili e ogni nuovo fornitore prima di usarlo (art. 28.2).</w:t>
      </w:r>
    </w:p>
    <w:p>
      <w:pPr>
        <w:pStyle w:val="ListParagraph"/>
        <w:numPr>
          <w:ilvl w:val="0"/>
          <w:numId w:val="2"/>
        </w:numPr>
        <w:spacing w:after="80" w:line="264"/>
      </w:pPr>
      <w:r>
        <w:rPr>
          <w:rFonts w:ascii="Calibri" w:cs="Calibri" w:eastAsia="Calibri" w:hAnsi="Calibri"/>
          <w:sz w:val="21"/>
          <w:szCs w:val="21"/>
        </w:rPr>
        <w:t xml:space="preserve">☐ Rivedere l'elenco a ogni nuovo servizio e almeno una volta l'anno.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Projexa · Sub-responsabili · pag. </w:t>
    </w:r>
    <w:r>
      <w:rPr>
        <w:rFonts w:ascii="Calibri" w:cs="Calibri" w:eastAsia="Calibri" w:hAnsi="Calibri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312E81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312E8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Sub-responsabili</dc:title>
  <dc:creator>Projexa</dc:creator>
  <cp:lastModifiedBy>Un-named</cp:lastModifiedBy>
  <cp:revision>1</cp:revision>
  <dcterms:created xsi:type="dcterms:W3CDTF">2026-10-17T19:56:34.951Z</dcterms:created>
  <dcterms:modified xsi:type="dcterms:W3CDTF">2026-10-17T19:56:34.951Z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