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Di solito è pronto in pochi secondi;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ascolta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w:t>
      </w:r>
      <w:r>
        <w:rPr>
          <w:b/>
          <w:bCs/>
        </w:rPr>
        <w:t xml:space="preserve">Gemini</w:t>
      </w:r>
      <w:r>
        <w:rPr>
          <w:b w:val="false"/>
          <w:bCs w:val="false"/>
        </w:rPr>
        <w:t xml:space="preserve"> oppure ChatGPT. Serve la tua chiave API dell'AI scelta,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Come ascolta</w:t>
      </w:r>
      <w:r>
        <w:rPr>
          <w:b w:val="false"/>
          <w:bCs w:val="false"/>
        </w:rPr>
        <w:t xml:space="preserve">: l'audio della riunione (il tuo microfono e le voci degli altri) va in tempo reale all'AI scelta, che lo ascolta e ti risponde solo con i suggerimenti. L'assistente non trascrive nulla: la trascrizione della riunione resta quella che Projexa prepara a fine registrazione. Quando nessuno parla l'audio non viene inviato, così non paghi il silenzio.</w:t>
      </w:r>
    </w:p>
    <w:p>
      <w:pPr>
        <w:pStyle w:val="ListParagraph"/>
        <w:numPr>
          <w:ilvl w:val="0"/>
          <w:numId w:val="2"/>
        </w:numPr>
        <w:spacing w:after="60"/>
      </w:pPr>
      <w:r>
        <w:rPr>
          <w:b/>
          <w:bCs/>
        </w:rPr>
        <w:t xml:space="preserve">Risposte</w:t>
      </w:r>
      <w:r>
        <w:rPr>
          <w:b w:val="false"/>
          <w:bCs w:val="false"/>
        </w:rPr>
        <w:t xml:space="preserve">: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Valuta la riunione ogni 30 secondi circa.</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Se la connessione è lenta, i pezzi di audio in ritardo vengono saltati: per l’assistente conta quello che si dice adesso.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I suggerimenti non entrano nella riunione: per conservarli usa l'export in Word (disponibile per 2 ore dopo Ferma).</w:t>
      </w:r>
    </w:p>
    <w:p>
      <w:pPr>
        <w:pBdr>
          <w:left w:val="single" w:color="059669" w:sz="18" w:space="12"/>
        </w:pBdr>
        <w:spacing w:after="140" w:before="80"/>
        <w:ind w:left="240"/>
      </w:pPr>
      <w:r>
        <w:rPr>
          <w:b/>
          <w:bCs/>
          <w:color w:val="059669"/>
        </w:rPr>
        <w:t xml:space="preserve">Nota — </w:t>
      </w:r>
      <w:r>
        <w:rPr>
          <w:b w:val="false"/>
          <w:bCs w:val="false"/>
        </w:rPr>
        <w:t xml:space="preserve">L'audio della riunione va all'AI scelta così com'è e non può essere anonimizzato. Le istruzioni, i dati del progetto e le tue domande scritte partono invece anonimizzati e i suggerimenti tornano con i nomi veri.</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Una licenza appena aggiunta è già Attiva: se non lo è ancora, spegni l’interruttore prima di salvare.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domande scritte all'Assistente PM.</w:t>
      </w:r>
    </w:p>
    <w:p>
      <w:pPr>
        <w:pStyle w:val="ListParagraph"/>
        <w:numPr>
          <w:ilvl w:val="0"/>
          <w:numId w:val="2"/>
        </w:numPr>
        <w:spacing w:after="60"/>
      </w:pPr>
      <w:r>
        <w:rPr>
          <w:b/>
          <w:bCs/>
        </w:rPr>
        <w:t xml:space="preserve">Dove non serve: </w:t>
      </w:r>
      <w:r>
        <w:rPr>
          <w:b w:val="false"/>
          <w:bCs w:val="false"/>
        </w:rPr>
        <w:t xml:space="preserve">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(che riceve l’audio della riunione) e per la trascrizione «Gemini trascrive».</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 Lo trovi in tutte le pagine di Projexa (dashboard, Gantt, Issue, Portfolio, Cruscotto PM, Report…), non solo nella dashboard.</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Il nuovo utente riceve in automatico l’elenco delle licenze (quelle proposte nell’Elenco Licenze dei clienti) dell’amministratore della sua azienda.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con la chiave API (ChatGPT, Claude, Gemini, Mistral).</w:t>
      </w:r>
      <w:r>
        <w:rPr>
          <w:b/>
          <w:bCs/>
        </w:rPr>
        <w:t xml:space="preserve"/>
      </w:r>
      <w:r>
        <w:rPr>
          <w:b w:val="false"/>
          <w:bCs w:val="false"/>
        </w:rPr>
        <w:t xml:space="preserve"/>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rifiuta la modalità Batch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 in tutte le pagine di Projexa.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Fatturato progetto</w:t>
            </w:r>
          </w:p>
        </w:tc>
        <w:tc>
          <w:tcPr>
            <w:tcW w:type="dxa" w:w="900"/>
            <w:vAlign w:val="center"/>
          </w:tcPr>
          <w:p>
            <w:pPr>
              <w:spacing w:after="20" w:before="20"/>
            </w:pPr>
            <w:r>
              <w:rPr>
                <w:sz w:val="20"/>
                <w:szCs w:val="20"/>
                <w:b w:val="false"/>
                <w:bCs w:val="false"/>
              </w:rPr>
              <w:t xml:space="preserve">FP</w:t>
            </w:r>
          </w:p>
        </w:tc>
        <w:tc>
          <w:tcPr>
            <w:tcW w:type="dxa" w:w="3500"/>
            <w:vAlign w:val="center"/>
          </w:tcPr>
          <w:p>
            <w:pPr>
              <w:spacing w:after="20" w:before="20"/>
            </w:pPr>
            <w:r>
              <w:rPr>
                <w:sz w:val="20"/>
                <w:szCs w:val="20"/>
                <w:b w:val="false"/>
                <w:bCs w:val="false"/>
              </w:rPr>
              <w:t xml:space="preserve">Per ogni progetto: Importo, fatturato, fatturato futuro e da fatturare (anche senza righe di fatturazione)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