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5.8</w:t>
      </w:r>
    </w:p>
    <w:p>
      <w:pPr>
        <w:spacing w:after="40"/>
        <w:jc w:val="center"/>
      </w:pPr>
      <w:r>
        <w:rPr>
          <w:color w:val="6B7280"/>
          <w:sz w:val="22"/>
          <w:szCs w:val="22"/>
        </w:rPr>
        <w:t xml:space="preserve">Aggiornato al 16/10/2026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le giornate ancora da fare del progetto per ruolo e mese, con sotto le giornate già coperte (verde = coperto, giallo = allocato meno del necessario; passando sopra una cella vedi i valori esatti, chi la copre e il motivo del colore: spesso il giallo è una differenza di pochi centesimi di giornata dovuta all’arrotondamento), e le </w:t>
      </w:r>
      <w:r>
        <w:rPr>
          <w:b/>
          <w:bCs/>
        </w:rPr>
        <w:t xml:space="preserve">Persone sul progetto</w:t>
      </w:r>
      <w:r>
        <w:rPr>
          <w:b w:val="false"/>
          <w:bCs w:val="false"/>
        </w:rPr>
        <w:t xml:space="preserve"> prese dal team, con la proposta di allocazione e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