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4.6</w:t>
      </w:r>
    </w:p>
    <w:p>
      <w:pPr>
        <w:spacing w:after="40"/>
        <w:jc w:val="center"/>
      </w:pPr>
      <w:r>
        <w:rPr>
          <w:color w:val="6B7280"/>
          <w:sz w:val="22"/>
          <w:szCs w:val="22"/>
        </w:rPr>
        <w:t xml:space="preserve">Aggiornato al 16/10/2026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Cambiando Owner il nominativo si svuota.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in Impostazioni accendi l’interruttore DataBricks e scegli la cartella del PC in cui viene salvato il file MySupport.xlsx (anche una cartella di OneDrive sincronizzata). Accanto all’interruttore compare il nome della cartella, con il pulsante Cambia cartella. Da quel momento, dal lunedì al venerdì alle 10:15 e alle 16:00, Projexa legge il file e lo importa come faceva l’import MySupport manuale, con le stesse notifiche dei ticket nuovi. Gli orari e i giorni si cambiano nella pagina Schedulazioni, alla riga «Import MySupport dalla cartella del PC», che vale solo per il tuo utente; lì trovi anche l’esito dell’ultima esecuzione e il pulsante Esegui ora. L’import avviene solo con la dashboard di Projexa aperta in Chrome o Edge (non mentre sei in un’altra pagina, come Schedulazioni o il Cruscotto PM): se all’ora prevista la dashboard non è aperta, l’import parte pochi secondi dopo che ci torni. Anche dopo Esegui ora torna alla dashboard per farlo partire. Se il file non è cambiato dall’ultimo import, Projexa riprova ogni 5 minuti per mezz’ora (lo script che crea il file impiega qualche minuto). Dopo un riavvio del browser può comparire in basso un avviso con il pulsante Consenti accesso, per riconfermare l’accesso alla cartella. Spegnendo l’interruttore l’import automatico si ferma.</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(Recap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Projexa legge da solo, senza AI, la sezione </w:t>
      </w:r>
      <w:r>
        <w:rPr>
          <w:b/>
          <w:bCs/>
        </w:rPr>
        <w:t xml:space="preserve">AZIONI IN CARICO AL CLIENTE</w:t>
      </w:r>
      <w:r>
        <w:rPr>
          <w:b w:val="false"/>
          <w:bCs w:val="false"/>
        </w:rPr>
        <w:t xml:space="preserve"> del recap per il cliente di ogni riunione (degli ultimi 60 giorni). Ogni riga diventa un’azione: il nome sopra il gruppo di righe è il </w:t>
      </w:r>
      <w:r>
        <w:rPr>
          <w:b/>
          <w:bCs/>
        </w:rPr>
        <w:t xml:space="preserve">referente</w:t>
      </w:r>
      <w:r>
        <w:rPr>
          <w:b w:val="false"/>
          <w:bCs w:val="false"/>
        </w:rPr>
        <w:t xml:space="preserve"> del cliente, la data scritta nella riga («entro il 20/10», «fine ottobre») è la </w:t>
      </w:r>
      <w:r>
        <w:rPr>
          <w:b/>
          <w:bCs/>
        </w:rPr>
        <w:t xml:space="preserve">scadenza</w:t>
      </w:r>
      <w:r>
        <w:rPr>
          <w:b w:val="false"/>
          <w:bCs w:val="false"/>
        </w:rPr>
        <w:t xml:space="preserve">; «da definire» lascia la scadenza vuota. Le azioni prendono il cliente e il progetto della riunione: collega la riunione a cliente e progetto con le tendine della riga, anche dopo il recap.</w:t>
      </w:r>
    </w:p>
    <w:p>
      <w:pPr>
        <w:pStyle w:val="ListParagraph"/>
        <w:numPr>
          <w:ilvl w:val="0"/>
          <w:numId w:val="2"/>
        </w:numPr>
        <w:spacing w:after="60"/>
      </w:pPr>
      <w:r>
        <w:rPr>
          <w:b/>
          <w:bCs/>
        </w:rPr>
        <w:t xml:space="preserve">Quando le legge</w:t>
      </w:r>
      <w:r>
        <w:rPr>
          <w:b w:val="false"/>
          <w:bCs w:val="false"/>
        </w:rPr>
        <w:t xml:space="preserve"> – appena apri la scheda Azioni cliente del Cruscotto, il Portfolio o la Linea della riunione, e ogni mattina. Se rigeneri o correggi il recap, le azioni nuove si aggiungono e quelle sparite si tolgono, ma solo se sono ancora aperte e non le hai mai modificate.</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Se cambi la data i promemoria ripartono da capo. </w:t>
      </w:r>
      <w:r>
        <w:rPr>
          <w:b/>
          <w:bCs/>
        </w:rPr>
        <w:t xml:space="preserve">Elimina</w:t>
      </w:r>
      <w:r>
        <w:rPr>
          <w:b w:val="false"/>
          <w:bCs w:val="false"/>
        </w:rPr>
        <w:t xml:space="preserve"> toglie l’azione dal registro: non torna nemmeno rileggendo il recap.</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e, in mancanza, nella Rubrica: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(prima i Contatti del cliente, poi la Rubrica).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