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GDPR Gap Analysis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Conformità al GDPR (Reg. UE 2016/679) — stato al 17 ottobre 2026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17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Sintesi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Rispetto alla versione di agosto 2026 la piattaforma è stata trasferita su Oracle Cloud in Italia (non più Render e Neon in produzione) e la sicurezza applicativa è stata rafforzata con due revisioni (8 e 17 ottobre). Restano da completare soprattutto adempimenti organizzativi (accordi con i fornitori, informativa, registro e DPIA definitivi) e alcuni interventi tecnici (cifratura completa, rotazione delle chiavi, conservazione automatica dei dati applicativi).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Quadro dei rilievi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060"/>
        <w:gridCol w:w="3759"/>
        <w:gridCol w:w="1157"/>
      </w:tblGrid>
      <w:tr>
        <w:trPr>
          <w:tblHeader/>
        </w:trPr>
        <w:tc>
          <w:tcPr>
            <w:tcW w:type="dxa" w:w="366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Rilievo</w:t>
            </w:r>
          </w:p>
        </w:tc>
        <w:tc>
          <w:tcPr>
            <w:tcW w:type="dxa" w:w="106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Gravità</w:t>
            </w:r>
          </w:p>
        </w:tc>
        <w:tc>
          <w:tcPr>
            <w:tcW w:type="dxa" w:w="375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Stato al 17 ottobre 2026</w:t>
            </w:r>
          </w:p>
        </w:tc>
        <w:tc>
          <w:tcPr>
            <w:tcW w:type="dxa" w:w="115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Rif.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SQL editor accessibile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solo amministratore, spento in produzione con doppio blocco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Utenti della stessa azienda potevano leggere/modificare i dati dei colleghi tramite le API generiche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 il 17/10/2026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 / 5.1.f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di sessione leggibile da JavaScript (localStorage)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cookie HttpOnly, revoca, scadenza per inattività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 inline ammessi dalla CSP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ammessi solo script con impronta SHA-256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Brute-force sul login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limiti per IP e per account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Enumerazione degli account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risposte identiche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Diritti dell'interessato (accesso, cancellazione, portabilità)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Gestiti su richiesta via email (export e auto-cancellazione rimossi dall'app): serve procedura scritta con tempi (30 giorni)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12-20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Informativa privacy completa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 completare (pagina privacy.html presente)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13/14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DPA con i fornitori e trasferimenti extra-UE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 completare (vedi elenco fornitori)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28 / 44-49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Staging Neon con dati reali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copia anonimizzata (nessun dato personale né token), regione UE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28 / 44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Trascrizioni e AI: base giuridica, consenso dei partecipanti, DPIA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Parziale: trascrizione sul server Projexa; DPIA aggiornata da validare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6 / 35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Cifratura a riposo dei dati personali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tutte le tabelle con dati personali (regola per campo, verificata); in chiaro solo campi tecnici e numerici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 da file poteva aggiornare righe dei colleghi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 il 17/10/2026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Chiavi di cifratura esposte (screenshot, ottobre 2026)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chiavi ruotate e dati ricifrati (verificato il 17/10/2026)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 / 33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Conservazione automatica dei dati applicativi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Parziale: automatica per log (12/24 mesi), backup (30 gg/12 mesi), audio (cancellato dopo la trascrizione)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5.1.e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dei trattamenti (RoPA)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Aggiornato: da validare e firmare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30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DPO e procedura data breach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Procedura aggiornata; nomina DPO da valutare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33/34/37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3. Interventi tecnici applicati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Hosting in Italia (Oracle Cloud, Milano); database non esposti su internet; backup in Italia.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Sessione: cookie HttpOnly/Secure/SameSite=Strict, revoca al logout e al cambio password, ruolo riletto dal database, scadenza per inattività.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Isolamento per azienda e per utente su tutte le API generiche dei dati; condivisioni esplicite e vista Manager in sola lettura.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Content-Security-Policy con impronte degli script; intestazioni di sicurezza; CORS limitato.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Log di audit su database separato: accessi, variazioni con valori prima/dopo, email inviate.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Cifratura AES-256-GCM dei token delle integrazioni e dei campi sensibili delle tabelle di lavoro principali.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Magic link monouso persistente; errori tecnici non esposti al browser; protezione SSRF; upload verificati.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4. Azioni residue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6"/>
        <w:gridCol w:w="1253"/>
        <w:gridCol w:w="2409"/>
      </w:tblGrid>
      <w:tr>
        <w:trPr>
          <w:tblHeader/>
        </w:trPr>
        <w:tc>
          <w:tcPr>
            <w:tcW w:type="dxa" w:w="5976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Azione</w:t>
            </w:r>
          </w:p>
        </w:tc>
        <w:tc>
          <w:tcPr>
            <w:tcW w:type="dxa" w:w="1253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Priorità</w:t>
            </w:r>
          </w:p>
        </w:tc>
        <w:tc>
          <w:tcPr>
            <w:tcW w:type="dxa" w:w="240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Responsabile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Firmare i DPA con Oracle, Google, Microsoft, Neon, fornitori di AI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[Titolare]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Pubblicare l'informativa privacy definitiva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[Legale / DPO]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Validare RoPA e DPIA aggiornati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[DPO]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Procedura scritta per le richieste degli interessati (via email)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[Titolare]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Conservazione automatica dei dati applicativi e degli account inattivi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[IT]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di penetrazione indipendente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[Titolare]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GDPR Gap Analysis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GDPR Gap Analysis</dc:title>
  <dc:creator>Projexa</dc:creator>
  <cp:lastModifiedBy>Un-named</cp:lastModifiedBy>
  <cp:revision>1</cp:revision>
  <dcterms:created xsi:type="dcterms:W3CDTF">2026-10-17T10:31:22.169Z</dcterms:created>
  <dcterms:modified xsi:type="dcterms:W3CDTF">2026-10-17T10:31:22.171Z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