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Registro dei trattamenti (RoPA)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Registro delle attività di trattamento ai sensi dell'art. 30 GDPR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17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Titolare del trattamento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Titolare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[RAGIONE SOCIALE] — [INDIRIZZO] — P.IVA [P.IVA]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Contatti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team.italia.projexa@gmail.com · [TELEFONO]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DPO (se nominato)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[NOME / EMAIL DPO]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Ruolo rispetto ai clienti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i dati che le aziende clienti inseriscono (loro clienti, contatti, progetti) Projexa agisce come responsabile del trattamento (art. 28) per conto dell'azienda cliente, titolare.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Attività di trattamento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1. Gestione utenti e autenticazione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Creazione e gestione degli account, accesso, sicurezza.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(6.1.b); sicurezza: legittimo interesse (6.1.f).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Utenti della piattaforma.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Nome, cognome, email, impronta della password (bcrypt), ruolo, azienda, sessioni revocate, log di accesso (IP, data e ora, esito).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 / 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 (hosting, Italia); Google e Microsoft (se si usa l'accesso con il loro account). Lo staging (Neon, UE) riceve solo una copia anonimizzata.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Nessuno per l'hosting e lo staging; Google/Microsoft secondo le loro garanzie (SCC / Data Privacy Framework).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rapporto; log di accesso 12 mesi; backup 30 giorni (giornalieri) e 12 mesi (mensili).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sensibili; Content-Security-Policy; log di audit separato (accessi, variazioni prima/dopo); backup notturni cifrati in Italia.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2. Erogazione del servizio (clienti, progetti, attività, costi, riunioni)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Gestione di clienti, contatti, progetti, pianificazione, costi, KPI, registri del Project Manager.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(6.1.b) con l'azienda cliente, per cui Projexa tratta i dati come responsabile.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Referenti dei clienti, componenti dei team di progetto, utenti.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Ragioni sociali, nominativi, email, telefono, ruoli, note, ticket di assistenza (MySupport), dati economici di progetto.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 / 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Cloud; Atlassian (se Jira è collegato). Lo staging (Neon, UE) riceve solo una copia anonimizzata.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Hosting in Italia, staging in UE; Atlassian: secondo l'istanza del cliente.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 con l'azienda cliente; poi cancellazione su richiesta. Storico delle variazioni 24 mesi.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sensibili; Content-Security-Policy; log di audit separato (accessi, variazioni prima/dopo); backup notturni cifrati in Italia.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3. Sicurezza e registri (log di audit)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Sicurezza, tracciabilità delle modifiche, indagine su abusi.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Legittimo interesse (6.1.f); obblighi di legge ove applicabili (6.1.c).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 (utente, IP, esito), variazioni ai dati con valori prima/dopo (password e token mascherati), email inviate (tipo, esito, destinatario, mai il testo).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Autonomous Database (separato dall'applicazione).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Accessi ed email 12 mesi, variazioni 24 mesi: cancellazione automatica notturna.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Database separato; l'applicazione può solo aggiungere e leggere; accesso alla consultazione riservato all'amministratore; ogni eliminazione manuale è registrata.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4. Integrazioni calendario e email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Lettura degli eventi di calendario per le riunioni; invio di email di servizio.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/ consenso al collegamento (6.1.a-b).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Eventi, partecipanti, link alle riunioni; email di servizio (conferma, reset, magic link).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Google, Microsoft.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Secondo le garanzie di Google e Microsoft (SCC / Data Privacy Framework).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Gli eventi sono letti al momento; i token di collegamento finché l'utente non scollega.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OAuth 2.0 con autorizzazione dell'utente, token cifrati AES-256-GCM, revoca in qualsiasi momento.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5. Registrazione, trascrizione delle riunioni e AI (richiede DPIA)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delle riunioni, recap, azioni e documenti di progetto.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Consenso/informativa ai partecipanti prima della registrazione (6.1.a) — vedi DPIA.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Partecipanti alle riunioni, anche esterni.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(temporaneo), trascrizione, recap, nominativi dei partecipanti.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Trascrizione: sul server Projexa (nessun fornitore). AI per recap/documenti: modello locale sul server, oppure il fornitore scelto dall'utente (OpenAI, Anthropic, Google, Mistral) con la propria chiave.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se l'utente sceglie un fornitore di AI extra-UE: secondo le sue garanzie (SCC / DPF).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cancellato subito dopo la trascrizione (residui entro poche ore); trascrizioni e recap per la durata del progetto o fino a cancellazione.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locale, cifratura dei recap, minimizzazione verso l'AI (es. Dossier senza anagrafica), revisione umana, accesso per utente.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6. Import dei ticket di assistenza (MySupport)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Monitoraggio dei ticket di assistenza dei clienti seguiti.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/ legittimo interesse dell'azienda cliente.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Codice ticket, cliente, procedura, stato, date, operatore.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Invio dal sistema aziendale con token dedicato per utente (solo impronta SHA-256 salvata), nessun file conservato sul server.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Aggiornamento.</w:t>
      </w:r>
      <w:r>
        <w:rPr>
          <w:rFonts w:ascii="Calibri" w:cs="Calibri" w:eastAsia="Calibri" w:hAnsi="Calibri"/>
          <w:sz w:val="21"/>
          <w:szCs w:val="21"/>
        </w:rPr>
        <w:t xml:space="preserve"> Il registro va rivisto a ogni nuovo trattamento, nuovo fornitore o nuova finalità, e almeno una volta l'anno.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Registro dei trattamenti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dei trattamenti</dc:title>
  <dc:creator>Projexa</dc:creator>
  <cp:lastModifiedBy>Un-named</cp:lastModifiedBy>
  <cp:revision>1</cp:revision>
  <dcterms:created xsi:type="dcterms:W3CDTF">2026-10-17T10:31:22.216Z</dcterms:created>
  <dcterms:modified xsi:type="dcterms:W3CDTF">2026-10-17T10:31:22.216Z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