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440" w:after="120" w:line="288" w:lineRule="auto"/>
      </w:pPr>
      <w:r>
        <w:rPr>
          <w:rFonts w:ascii="Arial" w:hAnsi="Arial" w:cs="Arial" w:eastAsia="Arial"/>
          <w:b/>
          <w:i w:val="0"/>
          <w:color w:val="606367"/>
          <w:spacing w:val="140"/>
          <w:sz w:val="19"/>
        </w:rPr>
        <w:t>AGENT ATTRACTION BRAIN · DEMO</w:t>
      </w:r>
    </w:p>
    <w:p>
      <w:pPr>
        <w:pStyle w:val="Title"/>
        <w:keepNext/>
        <w:widowControl/>
        <w:spacing w:before="0" w:after="40" w:line="245" w:lineRule="auto"/>
      </w:pPr>
      <w:r>
        <w:rPr>
          <w:rFonts w:ascii="Arial" w:hAnsi="Arial" w:cs="Arial" w:eastAsia="Arial"/>
          <w:b/>
          <w:i w:val="0"/>
          <w:color w:val="111111"/>
          <w:spacing w:val="-8"/>
          <w:sz w:val="60"/>
        </w:rPr>
        <w:t>90-Day Attraction Scorecard</w:t>
      </w:r>
    </w:p>
    <w:p>
      <w:pPr>
        <w:keepNext/>
        <w:widowControl/>
        <w:spacing w:before="20" w:after="80" w:line="288" w:lineRule="auto"/>
      </w:pPr>
      <w:r>
        <w:rPr>
          <w:rFonts w:ascii="Arial" w:hAnsi="Arial" w:cs="Arial" w:eastAsia="Arial"/>
          <w:b w:val="0"/>
          <w:i w:val="0"/>
          <w:color w:val="606367"/>
          <w:spacing w:val="20"/>
          <w:sz w:val="25"/>
        </w:rPr>
        <w:t>Taylor Brooks · Austin, TX</w:t>
      </w:r>
    </w:p>
    <w:p>
      <w:pPr>
        <w:pBdr>
          <w:bottom w:val="single" w:sz="8" w:space="7" w:color="1F3A5F"/>
        </w:pBdr>
        <w:spacing w:before="80" w:after="140" w:line="288" w:lineRule="auto"/>
      </w:pPr>
    </w:p>
    <w:p>
      <w:pPr>
        <w:spacing w:before="60" w:after="0" w:line="288" w:lineRule="auto"/>
      </w:pPr>
      <w:r>
        <w:rPr>
          <w:rFonts w:ascii="Arial" w:hAnsi="Arial" w:cs="Arial" w:eastAsia="Arial"/>
          <w:b w:val="0"/>
          <w:i w:val="0"/>
          <w:color w:val="606367"/>
          <w:sz w:val="19"/>
        </w:rPr>
        <w:t>Real Broker · quarter September 29 → December 28, 2026</w:t>
      </w:r>
    </w:p>
    <w:p>
      <w:pPr>
        <w:spacing w:before="60" w:after="0" w:line="288" w:lineRule="auto"/>
      </w:pPr>
      <w:r>
        <w:rPr>
          <w:rFonts w:ascii="Arial" w:hAnsi="Arial" w:cs="Arial" w:eastAsia="Arial"/>
          <w:b w:val="0"/>
          <w:i w:val="0"/>
          <w:color w:val="606367"/>
          <w:sz w:val="19"/>
        </w:rPr>
        <w:t>October 8, 2026</w:t>
      </w:r>
    </w:p>
    <w:p>
      <w:pPr>
        <w:spacing w:before="60" w:after="0" w:line="288" w:lineRule="auto"/>
      </w:pPr>
      <w:r>
        <w:rPr>
          <w:rFonts w:ascii="Arial" w:hAnsi="Arial" w:cs="Arial" w:eastAsia="Arial"/>
          <w:b w:val="0"/>
          <w:i w:val="0"/>
          <w:color w:val="606367"/>
          <w:sz w:val="19"/>
        </w:rPr>
        <w:t>Demo document — illustrative data, not researched.</w:t>
      </w:r>
    </w:p>
    <w:p>
      <w:pPr>
        <w:spacing w:before="60" w:after="0" w:line="288" w:lineRule="auto"/>
      </w:pPr>
      <w:r>
        <w:rPr>
          <w:rFonts w:ascii="Arial" w:hAnsi="Arial" w:cs="Arial" w:eastAsia="Arial"/>
          <w:b w:val="0"/>
          <w:i w:val="0"/>
          <w:color w:val="606367"/>
          <w:sz w:val="19"/>
        </w:rPr>
        <w:t>The numbers you control, against the targets you set on September 29 — and how the Daily Debrief and the Friday check-in score them. Every figure is illustrative — demo.</w:t>
      </w:r>
    </w:p>
    <w:p>
      <w:pPr>
        <w:spacing w:after="80"/>
      </w:pP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YOUR TARGETS</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2637"/>
        <w:gridCol w:w="4593"/>
        <w:gridCol w:w="770"/>
        <w:gridCol w:w="1361"/>
      </w:tblGrid>
      <w:tr>
        <w:trPr>
          <w:cantSplit/>
          <w:tblHeader/>
        </w:trPr>
        <w:tc>
          <w:tcPr>
            <w:tcW w:type="dxa" w:w="2637"/>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Measure</w:t>
            </w:r>
          </w:p>
        </w:tc>
        <w:tc>
          <w:tcPr>
            <w:tcW w:type="dxa" w:w="4593"/>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12-month</w:t>
            </w:r>
          </w:p>
        </w:tc>
        <w:tc>
          <w:tcPr>
            <w:tcW w:type="dxa" w:w="77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90-day</w:t>
            </w:r>
          </w:p>
        </w:tc>
        <w:tc>
          <w:tcPr>
            <w:tcW w:type="dxa" w:w="1361"/>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Weekly activity</w:t>
            </w:r>
          </w:p>
        </w:tc>
      </w:tr>
      <w:tr>
        <w:trPr>
          <w:cantSplit/>
        </w:trPr>
        <w:tc>
          <w:tcPr>
            <w:tcW w:type="dxa" w:w="263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Agents in organization</w:t>
            </w:r>
          </w:p>
        </w:tc>
        <w:tc>
          <w:tcPr>
            <w:tcW w:type="dxa" w:w="459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25</w:t>
            </w:r>
          </w:p>
        </w:tc>
        <w:tc>
          <w:tcPr>
            <w:tcW w:type="dxa" w:w="77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w:t>
            </w:r>
          </w:p>
        </w:tc>
        <w:tc>
          <w:tcPr>
            <w:tcW w:type="dxa" w:w="136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r>
        <w:trPr>
          <w:cantSplit/>
        </w:trPr>
        <w:tc>
          <w:tcPr>
            <w:tcW w:type="dxa" w:w="2637"/>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Conversations</w:t>
            </w:r>
          </w:p>
        </w:tc>
        <w:tc>
          <w:tcPr>
            <w:tcW w:type="dxa" w:w="459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~420</w:t>
            </w:r>
          </w:p>
        </w:tc>
        <w:tc>
          <w:tcPr>
            <w:tcW w:type="dxa" w:w="77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96</w:t>
            </w:r>
          </w:p>
        </w:tc>
        <w:tc>
          <w:tcPr>
            <w:tcW w:type="dxa" w:w="136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w:t>
            </w:r>
          </w:p>
        </w:tc>
      </w:tr>
      <w:tr>
        <w:trPr>
          <w:cantSplit/>
        </w:trPr>
        <w:tc>
          <w:tcPr>
            <w:tcW w:type="dxa" w:w="263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held</w:t>
            </w:r>
          </w:p>
        </w:tc>
        <w:tc>
          <w:tcPr>
            <w:tcW w:type="dxa" w:w="459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~75</w:t>
            </w:r>
          </w:p>
        </w:tc>
        <w:tc>
          <w:tcPr>
            <w:tcW w:type="dxa" w:w="77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15</w:t>
            </w:r>
          </w:p>
        </w:tc>
        <w:tc>
          <w:tcPr>
            <w:tcW w:type="dxa" w:w="136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1–2 (2 booked)</w:t>
            </w:r>
          </w:p>
        </w:tc>
      </w:tr>
      <w:tr>
        <w:trPr>
          <w:cantSplit/>
        </w:trPr>
        <w:tc>
          <w:tcPr>
            <w:tcW w:type="dxa" w:w="2637"/>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Joins</w:t>
            </w:r>
          </w:p>
        </w:tc>
        <w:tc>
          <w:tcPr>
            <w:tcW w:type="dxa" w:w="459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23</w:t>
            </w:r>
          </w:p>
        </w:tc>
        <w:tc>
          <w:tcPr>
            <w:tcW w:type="dxa" w:w="77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w:t>
            </w:r>
          </w:p>
        </w:tc>
        <w:tc>
          <w:tcPr>
            <w:tcW w:type="dxa" w:w="136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r>
        <w:trPr>
          <w:cantSplit/>
        </w:trPr>
        <w:tc>
          <w:tcPr>
            <w:tcW w:type="dxa" w:w="263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Content shipped</w:t>
            </w:r>
          </w:p>
        </w:tc>
        <w:tc>
          <w:tcPr>
            <w:tcW w:type="dxa" w:w="459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~200</w:t>
            </w:r>
          </w:p>
        </w:tc>
        <w:tc>
          <w:tcPr>
            <w:tcW w:type="dxa" w:w="77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48</w:t>
            </w:r>
          </w:p>
        </w:tc>
        <w:tc>
          <w:tcPr>
            <w:tcW w:type="dxa" w:w="136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 short + 1 long</w:t>
            </w:r>
          </w:p>
        </w:tc>
      </w:tr>
      <w:tr>
        <w:trPr>
          <w:cantSplit/>
        </w:trPr>
        <w:tc>
          <w:tcPr>
            <w:tcW w:type="dxa" w:w="2637"/>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Rev share (illustrative — demo)</w:t>
            </w:r>
          </w:p>
        </w:tc>
        <w:tc>
          <w:tcPr>
            <w:tcW w:type="dxa" w:w="459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~$100,000 a year run-rate at month 12, target scenario</w:t>
            </w:r>
          </w:p>
        </w:tc>
        <w:tc>
          <w:tcPr>
            <w:tcW w:type="dxa" w:w="77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136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bl>
    <w:p>
      <w:pPr>
        <w:spacing w:after="40"/>
      </w:pPr>
    </w:p>
    <w:p>
      <w:pPr>
        <w:widowControl/>
        <w:spacing w:before="0" w:after="120" w:line="288" w:lineRule="auto"/>
      </w:pPr>
      <w:r>
        <w:rPr>
          <w:rFonts w:ascii="Arial" w:hAnsi="Arial" w:cs="Arial" w:eastAsia="Arial"/>
          <w:b/>
          <w:i w:val="0"/>
          <w:color w:val="111111"/>
          <w:sz w:val="22"/>
        </w:rPr>
        <w:t xml:space="preserve">Ratios:  </w:t>
      </w:r>
      <w:r>
        <w:rPr>
          <w:rFonts w:ascii="Arial" w:hAnsi="Arial" w:cs="Arial" w:eastAsia="Arial"/>
          <w:b w:val="0"/>
          <w:i w:val="0"/>
          <w:color w:val="1A1A1A"/>
          <w:sz w:val="22"/>
        </w:rPr>
        <w:t>1 in 4 conversations becomes a call (your assumption, illustrative — demo) · 1 in 3 calls held becomes a join (assumption, replaced by real data after the first monthly audit) · Daily slice: 2 conversations and 2 follow-ups a day, Monday to Friday.</w:t>
      </w:r>
    </w:p>
    <w:p>
      <w:pPr>
        <w:spacing w:before="20" w:after="60" w:line="288" w:lineRule="auto"/>
        <w:ind w:left="403"/>
      </w:pPr>
      <w:r>
        <w:rPr>
          <w:rFonts w:ascii="Arial" w:hAnsi="Arial" w:cs="Arial" w:eastAsia="Arial"/>
          <w:b w:val="0"/>
          <w:i/>
          <w:color w:val="606367"/>
          <w:sz w:val="19"/>
        </w:rPr>
        <w:t>&gt;&gt; Your why, which opens every check-in: "So that the agents who are where I was in 2022 get the routine instead of the lead bill — and so my own January stops starting at zero."</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YOUR 30-60-90</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5148"/>
        <w:gridCol w:w="1404"/>
        <w:gridCol w:w="1404"/>
        <w:gridCol w:w="1404"/>
      </w:tblGrid>
      <w:tr>
        <w:trPr>
          <w:cantSplit/>
          <w:tblHeader/>
        </w:trPr>
        <w:tc>
          <w:tcPr>
            <w:tcW w:type="dxa" w:w="5148"/>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Measure</w:t>
            </w:r>
          </w:p>
        </w:tc>
        <w:tc>
          <w:tcPr>
            <w:tcW w:type="dxa" w:w="1404"/>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Day 30</w:t>
            </w:r>
          </w:p>
        </w:tc>
        <w:tc>
          <w:tcPr>
            <w:tcW w:type="dxa" w:w="1404"/>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Day 60</w:t>
            </w:r>
          </w:p>
        </w:tc>
        <w:tc>
          <w:tcPr>
            <w:tcW w:type="dxa" w:w="1404"/>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Day 90</w:t>
            </w:r>
          </w:p>
        </w:tc>
      </w:tr>
      <w:tr>
        <w:trPr>
          <w:cantSplit/>
        </w:trPr>
        <w:tc>
          <w:tcPr>
            <w:tcW w:type="dxa" w:w="5148"/>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Conversations</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24</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56</w:t>
            </w:r>
          </w:p>
        </w:tc>
        <w:tc>
          <w:tcPr>
            <w:tcW w:type="dxa" w:w="14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96</w:t>
            </w:r>
          </w:p>
        </w:tc>
      </w:tr>
      <w:tr>
        <w:trPr>
          <w:cantSplit/>
        </w:trPr>
        <w:tc>
          <w:tcPr>
            <w:tcW w:type="dxa" w:w="5148"/>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held</w:t>
            </w:r>
          </w:p>
        </w:tc>
        <w:tc>
          <w:tcPr>
            <w:tcW w:type="dxa" w:w="14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w:t>
            </w:r>
          </w:p>
        </w:tc>
        <w:tc>
          <w:tcPr>
            <w:tcW w:type="dxa" w:w="14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w:t>
            </w:r>
          </w:p>
        </w:tc>
        <w:tc>
          <w:tcPr>
            <w:tcW w:type="dxa" w:w="140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15</w:t>
            </w:r>
          </w:p>
        </w:tc>
      </w:tr>
      <w:tr>
        <w:trPr>
          <w:cantSplit/>
        </w:trPr>
        <w:tc>
          <w:tcPr>
            <w:tcW w:type="dxa" w:w="5148"/>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Joins</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w:t>
            </w:r>
          </w:p>
        </w:tc>
        <w:tc>
          <w:tcPr>
            <w:tcW w:type="dxa" w:w="14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w:t>
            </w:r>
          </w:p>
        </w:tc>
      </w:tr>
      <w:tr>
        <w:trPr>
          <w:cantSplit/>
        </w:trPr>
        <w:tc>
          <w:tcPr>
            <w:tcW w:type="dxa" w:w="5148"/>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Content shipped</w:t>
            </w:r>
          </w:p>
        </w:tc>
        <w:tc>
          <w:tcPr>
            <w:tcW w:type="dxa" w:w="14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12</w:t>
            </w:r>
          </w:p>
        </w:tc>
        <w:tc>
          <w:tcPr>
            <w:tcW w:type="dxa" w:w="14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28</w:t>
            </w:r>
          </w:p>
        </w:tc>
        <w:tc>
          <w:tcPr>
            <w:tcW w:type="dxa" w:w="140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48</w:t>
            </w:r>
          </w:p>
        </w:tc>
      </w:tr>
      <w:tr>
        <w:trPr>
          <w:cantSplit/>
        </w:trPr>
        <w:tc>
          <w:tcPr>
            <w:tcW w:type="dxa" w:w="5148"/>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Agents in organization</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w:t>
            </w:r>
          </w:p>
        </w:tc>
        <w:tc>
          <w:tcPr>
            <w:tcW w:type="dxa" w:w="14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w:t>
            </w:r>
          </w:p>
        </w:tc>
      </w:tr>
    </w:tbl>
    <w:p>
      <w:pPr>
        <w:spacing w:after="40"/>
      </w:pPr>
    </w:p>
    <w:p>
      <w:pPr>
        <w:widowControl/>
        <w:spacing w:before="0" w:after="120" w:line="288" w:lineRule="auto"/>
      </w:pPr>
      <w:r>
        <w:rPr>
          <w:rFonts w:ascii="Arial" w:hAnsi="Arial" w:cs="Arial" w:eastAsia="Arial"/>
          <w:b/>
          <w:i w:val="0"/>
          <w:color w:val="111111"/>
          <w:sz w:val="22"/>
        </w:rPr>
        <w:t xml:space="preserve">Ramped on purpose:  </w:t>
      </w:r>
      <w:r>
        <w:rPr>
          <w:rFonts w:ascii="Arial" w:hAnsi="Arial" w:cs="Arial" w:eastAsia="Arial"/>
          <w:b w:val="0"/>
          <w:i w:val="0"/>
          <w:color w:val="1A1A1A"/>
          <w:sz w:val="22"/>
        </w:rPr>
        <w:t>month one builds the habit, month two compounds, month three converts. A flat line would be a lie about how a first quarter works.</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YOUR WEEKLY ACTIVITY</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323"/>
        <w:gridCol w:w="1933"/>
        <w:gridCol w:w="6104"/>
      </w:tblGrid>
      <w:tr>
        <w:trPr>
          <w:cantSplit/>
          <w:tblHeader/>
        </w:trPr>
        <w:tc>
          <w:tcPr>
            <w:tcW w:type="dxa" w:w="1323"/>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Controllable</w:t>
            </w:r>
          </w:p>
        </w:tc>
        <w:tc>
          <w:tcPr>
            <w:tcW w:type="dxa" w:w="1933"/>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Target a week</w:t>
            </w:r>
          </w:p>
        </w:tc>
        <w:tc>
          <w:tcPr>
            <w:tcW w:type="dxa" w:w="6104"/>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Where it happens</w:t>
            </w:r>
          </w:p>
        </w:tc>
      </w:tr>
      <w:tr>
        <w:trPr>
          <w:cantSplit/>
        </w:trPr>
        <w:tc>
          <w:tcPr>
            <w:tcW w:type="dxa" w:w="132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Conversations</w:t>
            </w:r>
          </w:p>
        </w:tc>
        <w:tc>
          <w:tcPr>
            <w:tcW w:type="dxa" w:w="193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w:t>
            </w:r>
          </w:p>
        </w:tc>
        <w:tc>
          <w:tcPr>
            <w:tcW w:type="dxa" w:w="61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two a day, Monday to Friday — DMs, texts, the Saturday circuit</w:t>
            </w:r>
          </w:p>
        </w:tc>
      </w:tr>
      <w:tr>
        <w:trPr>
          <w:cantSplit/>
        </w:trPr>
        <w:tc>
          <w:tcPr>
            <w:tcW w:type="dxa" w:w="132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booked</w:t>
            </w:r>
          </w:p>
        </w:tc>
        <w:tc>
          <w:tcPr>
            <w:tcW w:type="dxa" w:w="193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w:t>
            </w:r>
          </w:p>
        </w:tc>
        <w:tc>
          <w:tcPr>
            <w:tcW w:type="dxa" w:w="610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and Thursday 10–12 call block</w:t>
            </w:r>
          </w:p>
        </w:tc>
      </w:tr>
      <w:tr>
        <w:trPr>
          <w:cantSplit/>
        </w:trPr>
        <w:tc>
          <w:tcPr>
            <w:tcW w:type="dxa" w:w="132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Follow-ups</w:t>
            </w:r>
          </w:p>
        </w:tc>
        <w:tc>
          <w:tcPr>
            <w:tcW w:type="dxa" w:w="193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10</w:t>
            </w:r>
          </w:p>
        </w:tc>
        <w:tc>
          <w:tcPr>
            <w:tcW w:type="dxa" w:w="61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Friday, one hour; day 1 / day 3 / day 7 after every conversation</w:t>
            </w:r>
          </w:p>
        </w:tc>
      </w:tr>
      <w:tr>
        <w:trPr>
          <w:cantSplit/>
        </w:trPr>
        <w:tc>
          <w:tcPr>
            <w:tcW w:type="dxa" w:w="132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Content</w:t>
            </w:r>
          </w:p>
        </w:tc>
        <w:tc>
          <w:tcPr>
            <w:tcW w:type="dxa" w:w="193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 reels + 1 episode</w:t>
            </w:r>
          </w:p>
        </w:tc>
        <w:tc>
          <w:tcPr>
            <w:tcW w:type="dxa" w:w="610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Sunday block, after the routine</w:t>
            </w:r>
          </w:p>
        </w:tc>
      </w:tr>
      <w:tr>
        <w:trPr>
          <w:cantSplit/>
        </w:trPr>
        <w:tc>
          <w:tcPr>
            <w:tcW w:type="dxa" w:w="132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Hours, total</w:t>
            </w:r>
          </w:p>
        </w:tc>
        <w:tc>
          <w:tcPr>
            <w:tcW w:type="dxa" w:w="193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w:t>
            </w:r>
          </w:p>
        </w:tc>
        <w:tc>
          <w:tcPr>
            <w:tcW w:type="dxa" w:w="61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 conversations · 2 calls · 2 content · 1 follow-ups</w:t>
            </w:r>
          </w:p>
        </w:tc>
      </w:tr>
    </w:tbl>
    <w:p>
      <w:pPr>
        <w:spacing w:after="40"/>
      </w:pPr>
    </w:p>
    <w:p>
      <w:pPr>
        <w:widowControl/>
        <w:spacing w:before="0" w:after="120" w:line="288" w:lineRule="auto"/>
      </w:pPr>
      <w:r>
        <w:rPr>
          <w:rFonts w:ascii="Arial" w:hAnsi="Arial" w:cs="Arial" w:eastAsia="Arial"/>
          <w:b w:val="0"/>
          <w:i w:val="0"/>
          <w:color w:val="1A1A1A"/>
          <w:sz w:val="22"/>
        </w:rPr>
        <w:t>Does this feel realistic? Your answer: "Yes. Eight is above the six the math needs, and I want the buffer — the first quarter is the ramp and the habit has to stick." Adjust the target or the hours, never the math.</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THE MONEY, HONESTLY</w:t>
      </w:r>
    </w:p>
    <w:p>
      <w:pPr>
        <w:widowControl/>
        <w:spacing w:before="0" w:after="120" w:line="288" w:lineRule="auto"/>
      </w:pPr>
      <w:r>
        <w:rPr>
          <w:rFonts w:ascii="Arial" w:hAnsi="Arial" w:cs="Arial" w:eastAsia="Arial"/>
          <w:b w:val="0"/>
          <w:i w:val="0"/>
          <w:color w:val="1A1A1A"/>
          <w:sz w:val="22"/>
        </w:rPr>
        <w:t>Private-call material. Every figure illustrative — demo, built from your own assumptions on September 29: about 8 deals a year at about $420,000 average price per attracted agent; a planning figure of about $4,000 a year of first-tier revenue share per settled frontline agent, about $1,200 in a partner's first partial year (not a brokerage figure); ratios 1 in 4 and 1 in 3.</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5513"/>
        <w:gridCol w:w="1539"/>
        <w:gridCol w:w="1154"/>
        <w:gridCol w:w="1154"/>
      </w:tblGrid>
      <w:tr>
        <w:trPr>
          <w:cantSplit/>
          <w:tblHeader/>
        </w:trPr>
        <w:tc>
          <w:tcPr>
            <w:tcW w:type="dxa" w:w="5513"/>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(every figure illustrative — demo)</w:t>
            </w:r>
          </w:p>
        </w:tc>
        <w:tc>
          <w:tcPr>
            <w:tcW w:type="dxa" w:w="1539"/>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Conservative</w:t>
            </w:r>
          </w:p>
        </w:tc>
        <w:tc>
          <w:tcPr>
            <w:tcW w:type="dxa" w:w="1154"/>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Target</w:t>
            </w:r>
          </w:p>
        </w:tc>
        <w:tc>
          <w:tcPr>
            <w:tcW w:type="dxa" w:w="1154"/>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Stretch</w:t>
            </w:r>
          </w:p>
        </w:tc>
      </w:tr>
      <w:tr>
        <w:trPr>
          <w:cantSplit/>
        </w:trPr>
        <w:tc>
          <w:tcPr>
            <w:tcW w:type="dxa" w:w="551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Joins in 12 months</w:t>
            </w:r>
          </w:p>
        </w:tc>
        <w:tc>
          <w:tcPr>
            <w:tcW w:type="dxa" w:w="153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14</w:t>
            </w:r>
          </w:p>
        </w:tc>
        <w:tc>
          <w:tcPr>
            <w:tcW w:type="dxa" w:w="115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23</w:t>
            </w:r>
          </w:p>
        </w:tc>
        <w:tc>
          <w:tcPr>
            <w:tcW w:type="dxa" w:w="115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35</w:t>
            </w:r>
          </w:p>
        </w:tc>
      </w:tr>
      <w:tr>
        <w:trPr>
          <w:cantSplit/>
        </w:trPr>
        <w:tc>
          <w:tcPr>
            <w:tcW w:type="dxa" w:w="551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Agents in organization at month 12</w:t>
            </w:r>
          </w:p>
        </w:tc>
        <w:tc>
          <w:tcPr>
            <w:tcW w:type="dxa" w:w="153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16</w:t>
            </w:r>
          </w:p>
        </w:tc>
        <w:tc>
          <w:tcPr>
            <w:tcW w:type="dxa" w:w="115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25</w:t>
            </w:r>
          </w:p>
        </w:tc>
        <w:tc>
          <w:tcPr>
            <w:tcW w:type="dxa" w:w="115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37</w:t>
            </w:r>
          </w:p>
        </w:tc>
      </w:tr>
      <w:tr>
        <w:trPr>
          <w:cantSplit/>
        </w:trPr>
        <w:tc>
          <w:tcPr>
            <w:tcW w:type="dxa" w:w="551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Year-one contribution (illustrative — demo)</w:t>
            </w:r>
          </w:p>
        </w:tc>
        <w:tc>
          <w:tcPr>
            <w:tcW w:type="dxa" w:w="153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~$16,800</w:t>
            </w:r>
          </w:p>
        </w:tc>
        <w:tc>
          <w:tcPr>
            <w:tcW w:type="dxa" w:w="115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~$27,600</w:t>
            </w:r>
          </w:p>
        </w:tc>
        <w:tc>
          <w:tcPr>
            <w:tcW w:type="dxa" w:w="115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~$42,000</w:t>
            </w:r>
          </w:p>
        </w:tc>
      </w:tr>
      <w:tr>
        <w:trPr>
          <w:cantSplit/>
        </w:trPr>
        <w:tc>
          <w:tcPr>
            <w:tcW w:type="dxa" w:w="551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Run-rate at month 12 (illustrative — demo)</w:t>
            </w:r>
          </w:p>
        </w:tc>
        <w:tc>
          <w:tcPr>
            <w:tcW w:type="dxa" w:w="153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~$64,000</w:t>
            </w:r>
          </w:p>
        </w:tc>
        <w:tc>
          <w:tcPr>
            <w:tcW w:type="dxa" w:w="115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~$100,000</w:t>
            </w:r>
          </w:p>
        </w:tc>
        <w:tc>
          <w:tcPr>
            <w:tcW w:type="dxa" w:w="115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~$148,000</w:t>
            </w:r>
          </w:p>
        </w:tc>
      </w:tr>
      <w:tr>
        <w:trPr>
          <w:cantSplit/>
        </w:trPr>
        <w:tc>
          <w:tcPr>
            <w:tcW w:type="dxa" w:w="551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Conversations a week it takes</w:t>
            </w:r>
          </w:p>
        </w:tc>
        <w:tc>
          <w:tcPr>
            <w:tcW w:type="dxa" w:w="153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w:t>
            </w:r>
          </w:p>
        </w:tc>
        <w:tc>
          <w:tcPr>
            <w:tcW w:type="dxa" w:w="115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6</w:t>
            </w:r>
          </w:p>
        </w:tc>
        <w:tc>
          <w:tcPr>
            <w:tcW w:type="dxa" w:w="115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9</w:t>
            </w:r>
          </w:p>
        </w:tc>
      </w:tr>
      <w:tr>
        <w:trPr>
          <w:cantSplit/>
        </w:trPr>
        <w:tc>
          <w:tcPr>
            <w:tcW w:type="dxa" w:w="551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a week it takes</w:t>
            </w:r>
          </w:p>
        </w:tc>
        <w:tc>
          <w:tcPr>
            <w:tcW w:type="dxa" w:w="153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w:t>
            </w:r>
          </w:p>
        </w:tc>
        <w:tc>
          <w:tcPr>
            <w:tcW w:type="dxa" w:w="115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w:t>
            </w:r>
          </w:p>
        </w:tc>
        <w:tc>
          <w:tcPr>
            <w:tcW w:type="dxa" w:w="115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w:t>
            </w:r>
          </w:p>
        </w:tc>
      </w:tr>
    </w:tbl>
    <w:p>
      <w:pPr>
        <w:spacing w:after="40"/>
      </w:pPr>
    </w:p>
    <w:p>
      <w:pPr>
        <w:widowControl/>
        <w:spacing w:before="0" w:after="120" w:line="288" w:lineRule="auto"/>
      </w:pPr>
      <w:r>
        <w:rPr>
          <w:rFonts w:ascii="Arial" w:hAnsi="Arial" w:cs="Arial" w:eastAsia="Arial"/>
          <w:b/>
          <w:i w:val="0"/>
          <w:color w:val="111111"/>
          <w:sz w:val="22"/>
        </w:rPr>
        <w:t xml:space="preserve">Stamp:  </w:t>
      </w:r>
      <w:r>
        <w:rPr>
          <w:rFonts w:ascii="Arial" w:hAnsi="Arial" w:cs="Arial" w:eastAsia="Arial"/>
          <w:b w:val="0"/>
          <w:i w:val="0"/>
          <w:color w:val="1A1A1A"/>
          <w:sz w:val="22"/>
        </w:rPr>
        <w:t>Illustrative planning scenarios built from Taylor Brooks's own assumptions on 2026-09-29 (demo). Not a projection, not an income claim, never for public use. Revenue share results vary and are not guaranteed.</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HOW TO USE THIS WEEKLY</w:t>
      </w:r>
    </w:p>
    <w:p>
      <w:pPr>
        <w:widowControl/>
        <w:spacing w:before="80" w:after="100" w:line="288" w:lineRule="auto"/>
        <w:ind w:left="576" w:hanging="576"/>
      </w:pPr>
      <w:r>
        <w:rPr>
          <w:rFonts w:ascii="Arial" w:hAnsi="Arial" w:cs="Arial" w:eastAsia="Arial"/>
          <w:b/>
          <w:i w:val="0"/>
          <w:color w:val="111111"/>
          <w:sz w:val="24"/>
        </w:rPr>
        <w:t xml:space="preserve">1.  </w:t>
      </w:r>
      <w:r>
        <w:rPr>
          <w:rFonts w:ascii="Arial" w:hAnsi="Arial" w:cs="Arial" w:eastAsia="Arial"/>
          <w:b w:val="0"/>
          <w:i w:val="0"/>
          <w:color w:val="1A1A1A"/>
          <w:sz w:val="22"/>
        </w:rPr>
        <w:t>Every evening at 6 pm the Daily Debrief counts the day — conversations, calls booked, calls held, joins, content — and scores it against the daily slice: Ahead (150% of the slice or more), On pace, or Behind. Never a grade, never a percentage. (Off on this demo brain; say "set up my daily debrief" on a real one.)</w:t>
      </w:r>
    </w:p>
    <w:p>
      <w:pPr>
        <w:widowControl/>
        <w:spacing w:before="80" w:after="100" w:line="288" w:lineRule="auto"/>
        <w:ind w:left="576" w:hanging="576"/>
      </w:pPr>
      <w:r>
        <w:rPr>
          <w:rFonts w:ascii="Arial" w:hAnsi="Arial" w:cs="Arial" w:eastAsia="Arial"/>
          <w:b/>
          <w:i w:val="0"/>
          <w:color w:val="111111"/>
          <w:sz w:val="24"/>
        </w:rPr>
        <w:t xml:space="preserve">2.  </w:t>
      </w:r>
      <w:r>
        <w:rPr>
          <w:rFonts w:ascii="Arial" w:hAnsi="Arial" w:cs="Arial" w:eastAsia="Arial"/>
          <w:b w:val="0"/>
          <w:i w:val="0"/>
          <w:color w:val="1A1A1A"/>
          <w:sz w:val="22"/>
        </w:rPr>
        <w:t>Every Friday at 4 pm, say "attraction weekly check-in." It rolls the week's daily rows into one weekly row, scores the week, names what moved, and gives you one thing for next week. If activity is on pace and joins lag, that is normal in a first quarter — the fix for a behind week is always activity, never the math.</w:t>
      </w:r>
    </w:p>
    <w:p>
      <w:pPr>
        <w:widowControl/>
        <w:spacing w:before="80" w:after="100" w:line="288" w:lineRule="auto"/>
        <w:ind w:left="576" w:hanging="576"/>
      </w:pPr>
      <w:r>
        <w:rPr>
          <w:rFonts w:ascii="Arial" w:hAnsi="Arial" w:cs="Arial" w:eastAsia="Arial"/>
          <w:b/>
          <w:i w:val="0"/>
          <w:color w:val="111111"/>
          <w:sz w:val="24"/>
        </w:rPr>
        <w:t xml:space="preserve">3.  </w:t>
      </w:r>
      <w:r>
        <w:rPr>
          <w:rFonts w:ascii="Arial" w:hAnsi="Arial" w:cs="Arial" w:eastAsia="Arial"/>
          <w:b w:val="0"/>
          <w:i w:val="0"/>
          <w:color w:val="1A1A1A"/>
          <w:sz w:val="22"/>
        </w:rPr>
        <w:t>The first Monday of each month, the monthly audit reads the ratios from real rows and replaces the assumptions above. After thirty days of data, the 1-in-4 and 1-in-3 are yours, not defaults.</w:t>
      </w:r>
    </w:p>
    <w:p>
      <w:pPr>
        <w:widowControl/>
        <w:spacing w:before="80" w:after="100" w:line="288" w:lineRule="auto"/>
        <w:ind w:left="576" w:hanging="576"/>
      </w:pPr>
      <w:r>
        <w:rPr>
          <w:rFonts w:ascii="Arial" w:hAnsi="Arial" w:cs="Arial" w:eastAsia="Arial"/>
          <w:b/>
          <w:i w:val="0"/>
          <w:color w:val="111111"/>
          <w:sz w:val="24"/>
        </w:rPr>
        <w:t xml:space="preserve">4.  </w:t>
      </w:r>
      <w:r>
        <w:rPr>
          <w:rFonts w:ascii="Arial" w:hAnsi="Arial" w:cs="Arial" w:eastAsia="Arial"/>
          <w:b w:val="0"/>
          <w:i w:val="0"/>
          <w:color w:val="1A1A1A"/>
          <w:sz w:val="22"/>
        </w:rPr>
        <w:t>At the end of the quarter, say "refresh my attraction plan." The next 90 days are set from what actually happened, the prior quarter is archived, and this scorecard is regenerated with a new date.</w:t>
      </w:r>
    </w:p>
    <w:p>
      <w:pPr>
        <w:widowControl/>
        <w:spacing w:before="80" w:after="100" w:line="288" w:lineRule="auto"/>
        <w:ind w:left="576" w:hanging="576"/>
      </w:pPr>
      <w:r>
        <w:rPr>
          <w:rFonts w:ascii="Arial" w:hAnsi="Arial" w:cs="Arial" w:eastAsia="Arial"/>
          <w:b/>
          <w:i w:val="0"/>
          <w:color w:val="111111"/>
          <w:sz w:val="24"/>
        </w:rPr>
        <w:t xml:space="preserve">5.  </w:t>
      </w:r>
      <w:r>
        <w:rPr>
          <w:rFonts w:ascii="Arial" w:hAnsi="Arial" w:cs="Arial" w:eastAsia="Arial"/>
          <w:b w:val="0"/>
          <w:i w:val="0"/>
          <w:color w:val="1A1A1A"/>
          <w:sz w:val="22"/>
        </w:rPr>
        <w:t>Three non-negotiables, every week, in this order: two agent conversations a day before anything else · the Tuesday table at 9 am with a partner presenting · the Sunday block — the routine first, then one reel.</w:t>
      </w:r>
    </w:p>
    <w:p>
      <w:pPr>
        <w:widowControl/>
        <w:spacing w:before="0" w:after="120" w:line="288" w:lineRule="auto"/>
      </w:pPr>
      <w:r>
        <w:rPr>
          <w:rFonts w:ascii="Arial" w:hAnsi="Arial" w:cs="Arial" w:eastAsia="Arial"/>
          <w:b w:val="0"/>
          <w:i w:val="0"/>
          <w:color w:val="1A1A1A"/>
          <w:sz w:val="22"/>
        </w:rPr>
        <w:t>Your scorecard lives in your home base → 01 · AI Brain, next to your Brain Book. The newest date is the current one.</w:t>
      </w:r>
    </w:p>
    <w:sectPr w:rsidR="00FC693F" w:rsidRPr="0006063C" w:rsidSect="00034616">
      <w:headerReference w:type="first" r:id="rId9"/>
      <w:footerReference w:type="first" r:id="rId10"/>
      <w:headerReference w:type="default" r:id="rId11"/>
      <w:footerReference w:type="default" r:id="rId12"/>
      <w:pgSz w:w="12240" w:h="15840"/>
      <w:pgMar w:top="1440"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120" w:after="0" w:line="240" w:lineRule="auto"/>
      <w:jc w:val="left"/>
    </w:pPr>
    <w:r/>
    <w:r>
      <w:rPr>
        <w:rFonts w:ascii="Arial" w:hAnsi="Arial" w:cs="Arial" w:eastAsia="Arial"/>
        <w:b w:val="0"/>
        <w:i w:val="0"/>
        <w:color w:val="606367"/>
        <w:sz w:val="17"/>
      </w:rPr>
      <w:t>Taylor Brooks · Austin, TX  ·  AGENT ATTRACTION BRAIN · DEMO</w:t>
    </w:r>
    <w:r>
      <w:rPr>
        <w:rFonts w:ascii="Arial" w:hAnsi="Arial" w:cs="Arial" w:eastAsia="Arial"/>
        <w:b w:val="0"/>
        <w:i w:val="0"/>
        <w:color w:val="606367"/>
        <w:sz w:val="17"/>
      </w:rPr>
      <w:tab/>
    </w:r>
    <w:r>
      <w:rPr>
        <w:rFonts w:ascii="Arial" w:hAnsi="Arial" w:cs="Arial" w:eastAsia="Arial"/>
        <w:b w:val="0"/>
        <w:i w:val="0"/>
        <w:color w:val="606367"/>
        <w:sz w:val="17"/>
      </w:rPr>
      <w:t xml:space="preserve">Page </w:t>
    </w:r>
    <w:r>
      <w:rPr>
        <w:rFonts w:ascii="Arial" w:hAnsi="Arial" w:cs="Arial" w:eastAsia="Arial"/>
        <w:color w:val="606367"/>
        <w:sz w:val="17"/>
      </w:rPr>
      <w:fldChar w:fldCharType="begin"/>
    </w:r>
    <w:r>
      <w:rPr>
        <w:rFonts w:ascii="Arial" w:hAnsi="Arial" w:cs="Arial" w:eastAsia="Arial"/>
        <w:color w:val="606367"/>
        <w:sz w:val="17"/>
      </w:rPr>
      <w:instrText xml:space="preserve"> PAGE </w:instrText>
    </w:r>
    <w:r>
      <w:rPr>
        <w:rFonts w:ascii="Arial" w:hAnsi="Arial" w:cs="Arial" w:eastAsia="Arial"/>
        <w:color w:val="606367"/>
        <w:sz w:val="17"/>
      </w:rPr>
      <w:fldChar w:fldCharType="separate"/>
    </w:r>
    <w:r>
      <w:rPr>
        <w:rFonts w:ascii="Arial" w:hAnsi="Arial" w:cs="Arial" w:eastAsia="Arial"/>
        <w:color w:val="606367"/>
        <w:sz w:val="17"/>
      </w:rPr>
      <w:t>1</w:t>
    </w:r>
    <w:r>
      <w:rPr>
        <w:rFonts w:ascii="Arial" w:hAnsi="Arial" w:cs="Arial" w:eastAsia="Arial"/>
        <w:color w:val="606367"/>
        <w:sz w:val="17"/>
      </w:rPr>
      <w:fldChar w:fldCharType="end"/>
    </w:r>
    <w:r>
      <w:rPr>
        <w:rFonts w:ascii="Arial" w:hAnsi="Arial" w:cs="Arial" w:eastAsia="Arial"/>
        <w:b w:val="0"/>
        <w:i w:val="0"/>
        <w:color w:val="606367"/>
        <w:sz w:val="17"/>
      </w:rPr>
      <w:t xml:space="preserve"> of </w:t>
    </w:r>
    <w:r>
      <w:rPr>
        <w:rFonts w:ascii="Arial" w:hAnsi="Arial" w:cs="Arial" w:eastAsia="Arial"/>
        <w:color w:val="606367"/>
        <w:sz w:val="17"/>
      </w:rPr>
      <w:fldChar w:fldCharType="begin"/>
    </w:r>
    <w:r>
      <w:rPr>
        <w:rFonts w:ascii="Arial" w:hAnsi="Arial" w:cs="Arial" w:eastAsia="Arial"/>
        <w:color w:val="606367"/>
        <w:sz w:val="17"/>
      </w:rPr>
      <w:instrText xml:space="preserve"> NUMPAGES </w:instrText>
    </w:r>
    <w:r>
      <w:rPr>
        <w:rFonts w:ascii="Arial" w:hAnsi="Arial" w:cs="Arial" w:eastAsia="Arial"/>
        <w:color w:val="606367"/>
        <w:sz w:val="17"/>
      </w:rPr>
      <w:fldChar w:fldCharType="separate"/>
    </w:r>
    <w:r>
      <w:rPr>
        <w:rFonts w:ascii="Arial" w:hAnsi="Arial" w:cs="Arial" w:eastAsia="Arial"/>
        <w:color w:val="606367"/>
        <w:sz w:val="17"/>
      </w:rPr>
      <w:t>1</w:t>
    </w:r>
    <w:r>
      <w:rPr>
        <w:rFonts w:ascii="Arial" w:hAnsi="Arial" w:cs="Arial" w:eastAsia="Arial"/>
        <w:color w:val="606367"/>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Arial" w:hAnsi="Arial" w:cs="Arial" w:eastAsia="Arial"/>
        <w:b w:val="0"/>
        <w:i w:val="0"/>
        <w:color w:val="606367"/>
        <w:sz w:val="17"/>
      </w:rPr>
      <w:t>90-Day Attraction Scorecard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88" w:lineRule="auto"/>
    </w:pPr>
    <w:rPr>
      <w:rFonts w:ascii="Arial" w:hAnsi="Arial" w:cs="Arial" w:eastAsia="Arial"/>
      <w:b w:val="0"/>
      <w:i w:val="0"/>
      <w:color w:val="1A1A1A"/>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line="245" w:lineRule="auto"/>
      <w:outlineLvl w:val="0"/>
    </w:pPr>
    <w:rPr>
      <w:rFonts w:ascii="Arial" w:hAnsi="Arial" w:cs="Arial" w:eastAsia="Arial"/>
      <w:b/>
      <w:bCs/>
      <w:i w:val="0"/>
      <w:color w:val="111111"/>
      <w:sz w:val="40"/>
      <w:szCs w:val="40"/>
      <w:u w:val="none"/>
    </w:rPr>
  </w:style>
  <w:style w:type="paragraph" w:styleId="Heading2">
    <w:name w:val="heading 2"/>
    <w:basedOn w:val="Normal"/>
    <w:next w:val="Normal"/>
    <w:link w:val="Heading2Char"/>
    <w:uiPriority w:val="9"/>
    <w:unhideWhenUsed/>
    <w:qFormat/>
    <w:rsid w:val="00FC693F"/>
    <w:pPr>
      <w:keepNext/>
      <w:keepLines/>
      <w:widowControl/>
      <w:spacing w:before="220" w:after="60" w:line="276" w:lineRule="auto"/>
      <w:outlineLvl w:val="1"/>
    </w:pPr>
    <w:rPr>
      <w:rFonts w:ascii="Arial" w:hAnsi="Arial" w:cs="Arial" w:eastAsia="Arial"/>
      <w:b/>
      <w:bCs/>
      <w:i w:val="0"/>
      <w:color w:val="111111"/>
      <w:sz w:val="25"/>
      <w:szCs w:val="25"/>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i w:val="0"/>
      <w:color w:val="111111"/>
      <w:sz w:val="40"/>
      <w:szCs w:val="40"/>
      <w:u w:val="none"/>
    </w:rPr>
  </w:style>
  <w:style w:type="character" w:customStyle="1" w:styleId="Heading2Char">
    <w:name w:val="Heading 2 Char"/>
    <w:basedOn w:val="DefaultParagraphFont"/>
    <w:link w:val="Heading2"/>
    <w:uiPriority w:val="9"/>
    <w:rsid w:val="00FC693F"/>
    <w:rPr>
      <w:rFonts w:ascii="Arial" w:hAnsi="Arial" w:cs="Arial" w:eastAsia="Arial"/>
      <w:b/>
      <w:bCs/>
      <w:i w:val="0"/>
      <w:color w:val="111111"/>
      <w:sz w:val="25"/>
      <w:szCs w:val="25"/>
      <w:u w:val="none"/>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50" w:lineRule="auto" w:before="0"/>
    </w:pPr>
    <w:rPr>
      <w:rFonts w:ascii="Arial" w:hAnsi="Arial" w:cs="Arial" w:eastAsia="Arial"/>
      <w:b/>
      <w:i w:val="0"/>
      <w:color w:val="111111"/>
      <w:spacing w:val="5"/>
      <w:kern w:val="28"/>
      <w:sz w:val="60"/>
      <w:szCs w:val="60"/>
      <w:u w:val="none"/>
    </w:rPr>
  </w:style>
  <w:style w:type="character" w:customStyle="1" w:styleId="TitleChar">
    <w:name w:val="Title Char"/>
    <w:basedOn w:val="DefaultParagraphFont"/>
    <w:link w:val="Title"/>
    <w:uiPriority w:val="10"/>
    <w:rsid w:val="00FC693F"/>
    <w:rPr>
      <w:rFonts w:ascii="Arial" w:hAnsi="Arial" w:cs="Arial" w:eastAsia="Arial"/>
      <w:b/>
      <w:i w:val="0"/>
      <w:color w:val="111111"/>
      <w:spacing w:val="5"/>
      <w:kern w:val="28"/>
      <w:sz w:val="60"/>
      <w:szCs w:val="60"/>
      <w:u w:val="none"/>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