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A719" w14:textId="618D5505" w:rsidR="007B697B" w:rsidRDefault="00444E70" w:rsidP="007B697B">
      <w:pPr>
        <w:pStyle w:val="Heading1"/>
        <w:spacing w:before="480"/>
      </w:pPr>
      <w:r>
        <w:rPr>
          <w:b/>
          <w:bCs/>
          <w:sz w:val="28"/>
          <w:szCs w:val="28"/>
        </w:rPr>
        <w:t>02.</w:t>
      </w:r>
      <w:r w:rsidR="007B697B">
        <w:rPr>
          <w:b/>
          <w:bCs/>
          <w:sz w:val="28"/>
          <w:szCs w:val="28"/>
        </w:rPr>
        <w:t xml:space="preserve"> </w:t>
      </w:r>
      <w:proofErr w:type="gramStart"/>
      <w:r w:rsidR="007B697B">
        <w:rPr>
          <w:b/>
          <w:bCs/>
          <w:sz w:val="28"/>
          <w:szCs w:val="28"/>
        </w:rPr>
        <w:t>Planning</w:t>
      </w:r>
      <w:proofErr w:type="gramEnd"/>
      <w:r w:rsidR="007B697B">
        <w:rPr>
          <w:b/>
          <w:bCs/>
          <w:sz w:val="28"/>
          <w:szCs w:val="28"/>
        </w:rPr>
        <w:t xml:space="preserve"> Meetings with Client and Engagement Team</w:t>
      </w:r>
    </w:p>
    <w:p w14:paraId="2497353D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I. Planning Meeting with Engagement Team</w:t>
      </w:r>
    </w:p>
    <w:p w14:paraId="57E21FC1" w14:textId="77777777" w:rsidR="007B697B" w:rsidRDefault="007B697B" w:rsidP="007B697B">
      <w:pPr>
        <w:spacing w:after="160"/>
      </w:pPr>
      <w:r>
        <w:t xml:space="preserve">Date of meeting: </w:t>
      </w:r>
      <w:r>
        <w:rPr>
          <w:i/>
          <w:iCs/>
          <w:color w:val="7A4E00"/>
          <w:shd w:val="solid" w:color="FFEB9C" w:fill="FFEB9C"/>
        </w:rPr>
        <w:t>[Insert date]</w:t>
      </w:r>
    </w:p>
    <w:p w14:paraId="18E90A9A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Participants</w:t>
      </w:r>
    </w:p>
    <w:p w14:paraId="3F488778" w14:textId="77777777" w:rsidR="007B697B" w:rsidRDefault="007B697B" w:rsidP="007B697B">
      <w:pPr>
        <w:spacing w:after="160"/>
      </w:pPr>
      <w:r>
        <w:t xml:space="preserve">Engagement Partner — </w:t>
      </w:r>
      <w:r>
        <w:rPr>
          <w:b/>
          <w:bCs/>
          <w:color w:val="084A73"/>
          <w:shd w:val="solid" w:color="BDD7EE" w:fill="BDD7EE"/>
        </w:rPr>
        <w:t>CA. Dharmaraj</w:t>
      </w:r>
    </w:p>
    <w:p w14:paraId="5C81D20C" w14:textId="77777777" w:rsidR="007B697B" w:rsidRDefault="007B697B" w:rsidP="007B697B">
      <w:pPr>
        <w:spacing w:after="160"/>
      </w:pPr>
      <w:r>
        <w:t xml:space="preserve">EQCR — </w:t>
      </w:r>
      <w:r>
        <w:rPr>
          <w:b/>
          <w:bCs/>
          <w:color w:val="084A73"/>
          <w:shd w:val="solid" w:color="BDD7EE" w:fill="BDD7EE"/>
        </w:rPr>
        <w:t xml:space="preserve">CA. </w:t>
      </w:r>
      <w:proofErr w:type="spellStart"/>
      <w:r>
        <w:rPr>
          <w:b/>
          <w:bCs/>
          <w:color w:val="084A73"/>
          <w:shd w:val="solid" w:color="BDD7EE" w:fill="BDD7EE"/>
        </w:rPr>
        <w:t>Dronacharya</w:t>
      </w:r>
      <w:proofErr w:type="spellEnd"/>
    </w:p>
    <w:p w14:paraId="7B63ECD3" w14:textId="77777777" w:rsidR="007B697B" w:rsidRDefault="007B697B" w:rsidP="007B697B">
      <w:pPr>
        <w:spacing w:after="160"/>
      </w:pPr>
      <w:r>
        <w:t xml:space="preserve">Team members — </w:t>
      </w:r>
      <w:r>
        <w:rPr>
          <w:b/>
          <w:bCs/>
          <w:color w:val="084A73"/>
          <w:shd w:val="solid" w:color="BDD7EE" w:fill="BDD7EE"/>
        </w:rPr>
        <w:t>CA. Bhim, CA. Arjun, CA. Abhimanyu &amp; CA. Ghatotkacha</w:t>
      </w:r>
    </w:p>
    <w:p w14:paraId="43814C05" w14:textId="77777777" w:rsidR="007B697B" w:rsidRDefault="007B697B" w:rsidP="007B697B">
      <w:pPr>
        <w:spacing w:after="160"/>
      </w:pPr>
      <w:r>
        <w:t xml:space="preserve">Auditor's Experts — </w:t>
      </w:r>
      <w:r>
        <w:rPr>
          <w:b/>
          <w:bCs/>
          <w:color w:val="084A73"/>
          <w:shd w:val="solid" w:color="BDD7EE" w:fill="BDD7EE"/>
        </w:rPr>
        <w:t>CA. Nakul</w:t>
      </w:r>
      <w:r>
        <w:t>, IS Audit Expert</w:t>
      </w:r>
    </w:p>
    <w:p w14:paraId="524E2EE9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Key Matters Discussed</w:t>
      </w:r>
    </w:p>
    <w:p w14:paraId="1C6A8B58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1. Sharing Knowledge of the Entity</w:t>
      </w:r>
    </w:p>
    <w:p w14:paraId="3E707B9F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Bhim</w:t>
      </w:r>
      <w:r>
        <w:t>, Engagement Manager (EM1), shared understanding of the entity including organizational structure, ownership and governance, business model, industry, economic environment, operations and key staff.</w:t>
      </w:r>
    </w:p>
    <w:p w14:paraId="7C4355A1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Arjun</w:t>
      </w:r>
      <w:r>
        <w:t>, Engagement Manager (EM2), informed the team about information obtained during the acceptance and continuance process.</w:t>
      </w:r>
    </w:p>
    <w:p w14:paraId="3E38FDA5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Dharmaraj</w:t>
      </w:r>
      <w:r>
        <w:t>, Engagement Partner (EP) gave overview of Scope and Reporting Responsibilities.</w:t>
      </w:r>
    </w:p>
    <w:p w14:paraId="2B677C08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2. Collective Responsibility for Audit Quality</w:t>
      </w:r>
    </w:p>
    <w:p w14:paraId="3C0E179F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Dharmaraj</w:t>
      </w:r>
      <w:r>
        <w:t>, EP apprised the ET of firm's Quality Control Policy Manual and Audit Methodology Manual — including open communication policies and raising concerns without fear of reprisal.</w:t>
      </w:r>
    </w:p>
    <w:p w14:paraId="03AD0B01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3. Professional Ethics and Independence</w:t>
      </w:r>
    </w:p>
    <w:p w14:paraId="208BC97B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Arjun</w:t>
      </w:r>
      <w:r>
        <w:t>, EM2 highlighted compliance with Firm's Code of Conduct, independence rules, confidentiality, and NOCLAR responsibilities.</w:t>
      </w:r>
    </w:p>
    <w:p w14:paraId="2DBD3C4A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 xml:space="preserve">4. Professional </w:t>
      </w:r>
      <w:proofErr w:type="spellStart"/>
      <w:r>
        <w:rPr>
          <w:b/>
          <w:bCs/>
          <w:sz w:val="24"/>
          <w:szCs w:val="24"/>
        </w:rPr>
        <w:t>Skepticism</w:t>
      </w:r>
      <w:proofErr w:type="spellEnd"/>
    </w:p>
    <w:p w14:paraId="4FBEBD19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Dharmaraj</w:t>
      </w:r>
      <w:r>
        <w:t xml:space="preserve"> and </w:t>
      </w:r>
      <w:r>
        <w:rPr>
          <w:b/>
          <w:bCs/>
          <w:color w:val="084A73"/>
          <w:shd w:val="solid" w:color="BDD7EE" w:fill="BDD7EE"/>
        </w:rPr>
        <w:t xml:space="preserve">CA. </w:t>
      </w:r>
      <w:proofErr w:type="spellStart"/>
      <w:r>
        <w:rPr>
          <w:b/>
          <w:bCs/>
          <w:color w:val="084A73"/>
          <w:shd w:val="solid" w:color="BDD7EE" w:fill="BDD7EE"/>
        </w:rPr>
        <w:t>Dronacharya</w:t>
      </w:r>
      <w:proofErr w:type="spellEnd"/>
      <w:r>
        <w:t xml:space="preserve"> emphasised maintaining a questioning mind, awareness of unconscious biases, and how/why fraud may occur.</w:t>
      </w:r>
    </w:p>
    <w:p w14:paraId="6369363B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5. Materiality</w:t>
      </w:r>
    </w:p>
    <w:p w14:paraId="56526094" w14:textId="77777777" w:rsidR="007B697B" w:rsidRDefault="007B697B" w:rsidP="007B697B">
      <w:pPr>
        <w:spacing w:after="160"/>
      </w:pPr>
      <w:r>
        <w:rPr>
          <w:b/>
          <w:bCs/>
          <w:color w:val="084A73"/>
          <w:shd w:val="solid" w:color="BDD7EE" w:fill="BDD7EE"/>
        </w:rPr>
        <w:t>CA. Sahdev</w:t>
      </w:r>
      <w:r>
        <w:t>, Engagement Supervisor briefed on Overall Materiality, Performance Materiality, Clearly Trivial Threshold, and Specific/Component Materiality.</w:t>
      </w:r>
    </w:p>
    <w:p w14:paraId="3150043A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6. Team Responsibilities</w:t>
      </w:r>
    </w:p>
    <w:p w14:paraId="65BF0593" w14:textId="77777777" w:rsidR="007B697B" w:rsidRDefault="007B697B" w:rsidP="007B697B">
      <w:pPr>
        <w:spacing w:after="160"/>
      </w:pPr>
      <w:r>
        <w:t>Engagement Partner: Overall direction and review.</w:t>
      </w:r>
    </w:p>
    <w:p w14:paraId="6C45D6CE" w14:textId="77777777" w:rsidR="007B697B" w:rsidRDefault="007B697B" w:rsidP="007B697B">
      <w:pPr>
        <w:spacing w:after="160"/>
      </w:pPr>
      <w:r>
        <w:t>EQCR: Objective evaluation of significant judgments.</w:t>
      </w:r>
    </w:p>
    <w:p w14:paraId="4E4E8715" w14:textId="77777777" w:rsidR="007B697B" w:rsidRDefault="007B697B" w:rsidP="007B697B">
      <w:pPr>
        <w:spacing w:after="160"/>
      </w:pPr>
      <w:r>
        <w:t>Managers: Supervision and liaison with client.</w:t>
      </w:r>
    </w:p>
    <w:p w14:paraId="35A12059" w14:textId="77777777" w:rsidR="007B697B" w:rsidRDefault="007B697B" w:rsidP="007B697B">
      <w:pPr>
        <w:spacing w:after="160"/>
      </w:pPr>
      <w:r>
        <w:t xml:space="preserve">Experts: </w:t>
      </w:r>
      <w:r>
        <w:rPr>
          <w:i/>
          <w:iCs/>
          <w:color w:val="7A4E00"/>
          <w:shd w:val="solid" w:color="FFEB9C" w:fill="FFEB9C"/>
        </w:rPr>
        <w:t>[IT System Testing / Actuarial Valuation / Fair Value]</w:t>
      </w:r>
    </w:p>
    <w:p w14:paraId="0162C982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lastRenderedPageBreak/>
        <w:t>7. Timelines</w:t>
      </w:r>
    </w:p>
    <w:p w14:paraId="45D9252B" w14:textId="77777777" w:rsidR="007B697B" w:rsidRDefault="007B697B" w:rsidP="007B697B">
      <w:pPr>
        <w:spacing w:after="160"/>
      </w:pPr>
      <w:r>
        <w:t xml:space="preserve">Interim audit: </w:t>
      </w:r>
      <w:r>
        <w:rPr>
          <w:i/>
          <w:iCs/>
          <w:color w:val="7A4E00"/>
          <w:shd w:val="solid" w:color="FFEB9C" w:fill="FFEB9C"/>
        </w:rPr>
        <w:t>[Insert start–end dates]</w:t>
      </w:r>
    </w:p>
    <w:p w14:paraId="3673AB27" w14:textId="77777777" w:rsidR="007B697B" w:rsidRDefault="007B697B" w:rsidP="007B697B">
      <w:pPr>
        <w:spacing w:after="160"/>
      </w:pPr>
      <w:r>
        <w:t xml:space="preserve">Year-end audit: </w:t>
      </w:r>
      <w:r>
        <w:rPr>
          <w:i/>
          <w:iCs/>
          <w:color w:val="7A4E00"/>
          <w:shd w:val="solid" w:color="FFEB9C" w:fill="FFEB9C"/>
        </w:rPr>
        <w:t>[Insert start–end dates]</w:t>
      </w:r>
    </w:p>
    <w:p w14:paraId="0E79D5E1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II. Planning Meeting with Client Management</w:t>
      </w:r>
    </w:p>
    <w:p w14:paraId="730EE2FD" w14:textId="77777777" w:rsidR="007B697B" w:rsidRDefault="007B697B" w:rsidP="007B697B">
      <w:pPr>
        <w:spacing w:after="160"/>
      </w:pPr>
      <w:r>
        <w:t xml:space="preserve">Date of meeting: </w:t>
      </w:r>
      <w:r>
        <w:rPr>
          <w:i/>
          <w:iCs/>
          <w:color w:val="7A4E00"/>
          <w:shd w:val="solid" w:color="FFEB9C" w:fill="FFEB9C"/>
        </w:rPr>
        <w:t>[Insert Date]</w:t>
      </w:r>
    </w:p>
    <w:p w14:paraId="1D270457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Participants</w:t>
      </w:r>
    </w:p>
    <w:p w14:paraId="7CDE3DF7" w14:textId="77777777" w:rsidR="007B697B" w:rsidRDefault="007B697B" w:rsidP="007B697B">
      <w:pPr>
        <w:spacing w:after="160"/>
      </w:pPr>
      <w:r>
        <w:t xml:space="preserve">From Auditor's side: </w:t>
      </w:r>
      <w:r>
        <w:rPr>
          <w:b/>
          <w:bCs/>
          <w:color w:val="084A73"/>
          <w:shd w:val="solid" w:color="BDD7EE" w:fill="BDD7EE"/>
        </w:rPr>
        <w:t>Engagement Partner, Manager, Supervisor</w:t>
      </w:r>
    </w:p>
    <w:p w14:paraId="74FC2E0E" w14:textId="77777777" w:rsidR="007B697B" w:rsidRDefault="007B697B" w:rsidP="007B697B">
      <w:pPr>
        <w:spacing w:after="160"/>
      </w:pPr>
      <w:r>
        <w:t xml:space="preserve">From Client's side: </w:t>
      </w:r>
      <w:r>
        <w:rPr>
          <w:i/>
          <w:iCs/>
          <w:color w:val="7A4E00"/>
          <w:shd w:val="solid" w:color="FFEB9C" w:fill="FFEB9C"/>
        </w:rPr>
        <w:t>[CFO, Head of Finance, Internal Audit Head, Company Secretary]</w:t>
      </w:r>
    </w:p>
    <w:p w14:paraId="097FBCB6" w14:textId="77777777" w:rsidR="007B697B" w:rsidRDefault="007B697B" w:rsidP="007B697B">
      <w:pPr>
        <w:pStyle w:val="Heading2"/>
      </w:pPr>
      <w:r>
        <w:rPr>
          <w:b/>
          <w:bCs/>
          <w:sz w:val="26"/>
          <w:szCs w:val="26"/>
        </w:rPr>
        <w:t>Key Matters Discussed</w:t>
      </w:r>
    </w:p>
    <w:p w14:paraId="04773BB5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1. Business Environment Update</w:t>
      </w:r>
    </w:p>
    <w:p w14:paraId="6D3A3AF6" w14:textId="77777777" w:rsidR="007B697B" w:rsidRDefault="007B697B" w:rsidP="007B697B">
      <w:pPr>
        <w:spacing w:after="160"/>
      </w:pPr>
      <w:r>
        <w:rPr>
          <w:i/>
          <w:iCs/>
          <w:color w:val="7A4E00"/>
          <w:shd w:val="solid" w:color="FFEB9C" w:fill="FFEB9C"/>
        </w:rPr>
        <w:t>[Describe significant changes in operations during the financial year, including expansion, new products, regulatory developments, their financial impact]</w:t>
      </w:r>
    </w:p>
    <w:p w14:paraId="6DF4CFA6" w14:textId="77777777" w:rsidR="007B697B" w:rsidRDefault="007B697B" w:rsidP="007B697B">
      <w:pPr>
        <w:spacing w:after="160"/>
      </w:pPr>
      <w:r>
        <w:t xml:space="preserve">Extended Producer Responsibility (EPR) norms — auditors to consider adherence when evaluating contingent liabilities, provisions, and disclosures under </w:t>
      </w:r>
      <w:r>
        <w:rPr>
          <w:i/>
          <w:iCs/>
          <w:color w:val="7A4E00"/>
          <w:shd w:val="solid" w:color="FFEB9C" w:fill="FFEB9C"/>
        </w:rPr>
        <w:t>[applicable Ind AS, e.g. Ind AS 37]</w:t>
      </w:r>
    </w:p>
    <w:p w14:paraId="63CEFCE0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2. Regulatory / Subsidiary Matters</w:t>
      </w:r>
    </w:p>
    <w:p w14:paraId="16C81B08" w14:textId="77777777" w:rsidR="007B697B" w:rsidRDefault="007B697B" w:rsidP="007B697B">
      <w:pPr>
        <w:spacing w:after="160"/>
      </w:pPr>
      <w:r>
        <w:rPr>
          <w:i/>
          <w:iCs/>
          <w:color w:val="7A4E00"/>
          <w:shd w:val="solid" w:color="FFEB9C" w:fill="FFEB9C"/>
        </w:rPr>
        <w:t>[Insert details of any regulatory inspections, e.g. RBI inspection of NBFC subsidiary. Cross-reference Section VII.]</w:t>
      </w:r>
    </w:p>
    <w:p w14:paraId="15C1CCD6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3. IT System Updates</w:t>
      </w:r>
    </w:p>
    <w:p w14:paraId="46DBF9CB" w14:textId="77777777" w:rsidR="007B697B" w:rsidRDefault="007B697B" w:rsidP="007B697B">
      <w:pPr>
        <w:spacing w:after="160"/>
      </w:pPr>
      <w:r>
        <w:rPr>
          <w:i/>
          <w:iCs/>
          <w:color w:val="7A4E00"/>
          <w:shd w:val="solid" w:color="FFEB9C" w:fill="FFEB9C"/>
        </w:rPr>
        <w:t>[Describe significant ERP/IT changes during the year — migration, automation, new interfaces]</w:t>
      </w:r>
    </w:p>
    <w:p w14:paraId="000AC89A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4. Financial Performance</w:t>
      </w:r>
    </w:p>
    <w:p w14:paraId="38BE65FB" w14:textId="77777777" w:rsidR="007B697B" w:rsidRDefault="007B697B" w:rsidP="007B697B">
      <w:pPr>
        <w:spacing w:after="160"/>
      </w:pPr>
      <w:r>
        <w:rPr>
          <w:i/>
          <w:iCs/>
          <w:color w:val="7A4E00"/>
          <w:shd w:val="solid" w:color="FFEB9C" w:fill="FFEB9C"/>
        </w:rPr>
        <w:t>[Summarise standalone and consolidated financial highlights — key changes in revenue, costs, provisions]</w:t>
      </w:r>
    </w:p>
    <w:p w14:paraId="7B5B2433" w14:textId="77777777" w:rsidR="007B697B" w:rsidRDefault="007B697B" w:rsidP="007B697B">
      <w:pPr>
        <w:pStyle w:val="Heading3"/>
      </w:pPr>
      <w:r>
        <w:rPr>
          <w:b/>
          <w:bCs/>
          <w:sz w:val="24"/>
          <w:szCs w:val="24"/>
        </w:rPr>
        <w:t>5. Actions Agreed</w:t>
      </w:r>
    </w:p>
    <w:p w14:paraId="7288B415" w14:textId="77777777" w:rsidR="007B697B" w:rsidRDefault="007B697B" w:rsidP="007B697B">
      <w:pPr>
        <w:spacing w:after="160"/>
      </w:pPr>
      <w:r>
        <w:t>Time plans for interim audit; client to advise draft FS and committee meeting dates; regular status meetings weekly during fieldwork.</w:t>
      </w:r>
    </w:p>
    <w:p w14:paraId="1FD18871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04"/>
    <w:rsid w:val="00444E70"/>
    <w:rsid w:val="004C783D"/>
    <w:rsid w:val="00500C9D"/>
    <w:rsid w:val="006132D5"/>
    <w:rsid w:val="006B0104"/>
    <w:rsid w:val="007B697B"/>
    <w:rsid w:val="00AD658C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709B"/>
  <w15:chartTrackingRefBased/>
  <w15:docId w15:val="{01BA2EF9-3470-4795-9144-EF735D1F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97B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1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1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1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2026-02-14T05:44:00Z</dcterms:created>
  <dcterms:modified xsi:type="dcterms:W3CDTF">2026-02-14T08:46:00Z</dcterms:modified>
</cp:coreProperties>
</file>