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7C21" w14:textId="2E2411EF" w:rsidR="00525B61" w:rsidRDefault="0070421F" w:rsidP="00525B61">
      <w:pPr>
        <w:pStyle w:val="Heading1"/>
        <w:spacing w:before="480"/>
      </w:pPr>
      <w:r>
        <w:rPr>
          <w:b/>
          <w:bCs/>
          <w:sz w:val="28"/>
          <w:szCs w:val="28"/>
        </w:rPr>
        <w:t>04.</w:t>
      </w:r>
      <w:r w:rsidR="00525B61">
        <w:rPr>
          <w:b/>
          <w:bCs/>
          <w:sz w:val="28"/>
          <w:szCs w:val="28"/>
        </w:rPr>
        <w:t xml:space="preserve"> Materiality Determination</w:t>
      </w:r>
    </w:p>
    <w:p w14:paraId="1F54B3DD" w14:textId="77777777" w:rsidR="00525B61" w:rsidRDefault="00525B61" w:rsidP="00525B61">
      <w:pPr>
        <w:spacing w:after="160"/>
      </w:pPr>
      <w:r>
        <w:t>(As per SA 320. Determination requires professional judgement based on entity-specific facts and circumstances.)</w:t>
      </w:r>
    </w:p>
    <w:p w14:paraId="0F84EFC5" w14:textId="77777777" w:rsidR="00525B61" w:rsidRDefault="00525B61" w:rsidP="00525B61">
      <w:pPr>
        <w:pStyle w:val="Heading2"/>
      </w:pPr>
      <w:r>
        <w:rPr>
          <w:b/>
          <w:bCs/>
          <w:sz w:val="26"/>
          <w:szCs w:val="26"/>
        </w:rPr>
        <w:t>Standalone Financial Statements — Overall Materiality (OM)</w:t>
      </w:r>
    </w:p>
    <w:p w14:paraId="79EF064F" w14:textId="77777777" w:rsidR="00525B61" w:rsidRDefault="00525B61" w:rsidP="00525B61">
      <w:pPr>
        <w:spacing w:before="160" w:after="80"/>
      </w:pPr>
      <w:r>
        <w:rPr>
          <w:b/>
          <w:bCs/>
        </w:rPr>
        <w:t>Benchmark Table — SFS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525B61" w14:paraId="661358F2" w14:textId="77777777" w:rsidTr="007665D8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1ED8F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Benchmark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37BE9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Amount (₹ Crores)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883D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Acceptable 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869E6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OM Estimate</w:t>
            </w:r>
          </w:p>
        </w:tc>
      </w:tr>
      <w:tr w:rsidR="00525B61" w14:paraId="20FC0648" w14:textId="77777777" w:rsidTr="007665D8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82531" w14:textId="77777777" w:rsidR="00525B61" w:rsidRDefault="00525B61" w:rsidP="007665D8">
            <w:r>
              <w:rPr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8424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[70,000]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553E3" w14:textId="77777777" w:rsidR="00525B61" w:rsidRDefault="00525B61" w:rsidP="007665D8">
            <w:pPr>
              <w:jc w:val="center"/>
            </w:pPr>
            <w:r>
              <w:t>0.5%–1%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FFA24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[350]</w:t>
            </w:r>
          </w:p>
        </w:tc>
      </w:tr>
      <w:tr w:rsidR="00525B61" w14:paraId="736B7FBD" w14:textId="77777777" w:rsidTr="007665D8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AB67" w14:textId="77777777" w:rsidR="00525B61" w:rsidRDefault="00525B61" w:rsidP="007665D8">
            <w:r>
              <w:rPr>
                <w:sz w:val="20"/>
                <w:szCs w:val="20"/>
              </w:rPr>
              <w:t>Profit before Tax (PBT)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197E9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[7,600]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DAB7A" w14:textId="77777777" w:rsidR="00525B61" w:rsidRDefault="00525B61" w:rsidP="007665D8">
            <w:pPr>
              <w:jc w:val="center"/>
            </w:pPr>
            <w:r>
              <w:t>5%–8%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81506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[380]</w:t>
            </w:r>
          </w:p>
        </w:tc>
      </w:tr>
    </w:tbl>
    <w:p w14:paraId="7E105976" w14:textId="77777777" w:rsidR="00525B61" w:rsidRDefault="00525B61" w:rsidP="00525B61">
      <w:pPr>
        <w:spacing w:after="160"/>
      </w:pPr>
    </w:p>
    <w:p w14:paraId="544501F8" w14:textId="77777777" w:rsidR="00525B61" w:rsidRDefault="00525B61" w:rsidP="00525B61">
      <w:pPr>
        <w:spacing w:after="160"/>
      </w:pPr>
      <w:r>
        <w:t xml:space="preserve">OM set at: </w:t>
      </w:r>
      <w:r>
        <w:rPr>
          <w:i/>
          <w:iCs/>
          <w:color w:val="7A4E00"/>
          <w:shd w:val="solid" w:color="FFEB9C" w:fill="FFEB9C"/>
        </w:rPr>
        <w:t>[₹ ___ crores]</w:t>
      </w:r>
      <w:r>
        <w:t xml:space="preserve"> (based on lower end of range / mid-range — professional judgement)</w:t>
      </w:r>
    </w:p>
    <w:p w14:paraId="76697BE7" w14:textId="77777777" w:rsidR="00525B61" w:rsidRDefault="00525B61" w:rsidP="00525B61">
      <w:pPr>
        <w:spacing w:after="160"/>
      </w:pPr>
      <w:r>
        <w:t xml:space="preserve">Performance Materiality (PM): </w:t>
      </w:r>
      <w:r>
        <w:rPr>
          <w:i/>
          <w:iCs/>
          <w:color w:val="7A4E00"/>
          <w:shd w:val="solid" w:color="FFEB9C" w:fill="FFEB9C"/>
        </w:rPr>
        <w:t>[50%–75%]</w:t>
      </w:r>
      <w:r>
        <w:t xml:space="preserve"> of OM = </w:t>
      </w:r>
      <w:r>
        <w:rPr>
          <w:i/>
          <w:iCs/>
          <w:color w:val="7A4E00"/>
          <w:shd w:val="solid" w:color="FFEB9C" w:fill="FFEB9C"/>
        </w:rPr>
        <w:t>[₹ ___ crores]</w:t>
      </w:r>
    </w:p>
    <w:p w14:paraId="47C353F0" w14:textId="77777777" w:rsidR="00525B61" w:rsidRDefault="00525B61" w:rsidP="00525B61">
      <w:pPr>
        <w:spacing w:after="160"/>
      </w:pPr>
      <w:r>
        <w:t xml:space="preserve">Clearly Trivial Threshold (CTT): </w:t>
      </w:r>
      <w:r>
        <w:rPr>
          <w:i/>
          <w:iCs/>
          <w:color w:val="7A4E00"/>
          <w:shd w:val="solid" w:color="FFEB9C" w:fill="FFEB9C"/>
        </w:rPr>
        <w:t>[0%–5%]</w:t>
      </w:r>
      <w:r>
        <w:t xml:space="preserve"> of OM = </w:t>
      </w:r>
      <w:r>
        <w:rPr>
          <w:i/>
          <w:iCs/>
          <w:color w:val="7A4E00"/>
          <w:shd w:val="solid" w:color="FFEB9C" w:fill="FFEB9C"/>
        </w:rPr>
        <w:t>[₹ ___ crores]</w:t>
      </w:r>
    </w:p>
    <w:p w14:paraId="2B780451" w14:textId="77777777" w:rsidR="00525B61" w:rsidRDefault="00525B61" w:rsidP="00525B61">
      <w:pPr>
        <w:pStyle w:val="Heading2"/>
      </w:pPr>
      <w:r>
        <w:rPr>
          <w:b/>
          <w:bCs/>
          <w:sz w:val="26"/>
          <w:szCs w:val="26"/>
        </w:rPr>
        <w:t>Consolidated Financial Statements — Overall Materiality (OM)</w:t>
      </w:r>
    </w:p>
    <w:p w14:paraId="364A6102" w14:textId="77777777" w:rsidR="00525B61" w:rsidRDefault="00525B61" w:rsidP="00525B61">
      <w:pPr>
        <w:spacing w:before="160" w:after="80"/>
      </w:pPr>
      <w:r>
        <w:rPr>
          <w:b/>
          <w:bCs/>
        </w:rPr>
        <w:t>Benchmark Table — CFS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525B61" w14:paraId="2CFE0A43" w14:textId="77777777" w:rsidTr="007665D8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84B70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Benchmark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ECFE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Amount (₹ Crores)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A95ED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Acceptable 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69423" w14:textId="77777777" w:rsidR="00525B61" w:rsidRDefault="00525B61" w:rsidP="007665D8">
            <w:r>
              <w:rPr>
                <w:b/>
                <w:bCs/>
                <w:sz w:val="20"/>
                <w:szCs w:val="20"/>
              </w:rPr>
              <w:t>OM Estimate</w:t>
            </w:r>
          </w:p>
        </w:tc>
      </w:tr>
      <w:tr w:rsidR="00525B61" w14:paraId="7329B0C3" w14:textId="77777777" w:rsidTr="007665D8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7672" w14:textId="77777777" w:rsidR="00525B61" w:rsidRDefault="00525B61" w:rsidP="007665D8">
            <w:r>
              <w:rPr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BF8B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[4,40,000]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8FFF4" w14:textId="77777777" w:rsidR="00525B61" w:rsidRDefault="00525B61" w:rsidP="007665D8">
            <w:pPr>
              <w:jc w:val="center"/>
            </w:pPr>
            <w:r>
              <w:t>0.5%–1%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FFFEA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[2,200]</w:t>
            </w:r>
          </w:p>
        </w:tc>
      </w:tr>
      <w:tr w:rsidR="00525B61" w14:paraId="559094DF" w14:textId="77777777" w:rsidTr="007665D8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1351" w14:textId="77777777" w:rsidR="00525B61" w:rsidRDefault="00525B61" w:rsidP="007665D8">
            <w:r>
              <w:rPr>
                <w:sz w:val="20"/>
                <w:szCs w:val="20"/>
              </w:rPr>
              <w:t>Profit before Tax (PBT)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4C23F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[34,000]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D118" w14:textId="77777777" w:rsidR="00525B61" w:rsidRDefault="00525B61" w:rsidP="007665D8">
            <w:pPr>
              <w:jc w:val="center"/>
            </w:pPr>
            <w:r>
              <w:t>5%–8%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E2FE7" w14:textId="77777777" w:rsidR="00525B61" w:rsidRDefault="00525B61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[1,700]</w:t>
            </w:r>
          </w:p>
        </w:tc>
      </w:tr>
    </w:tbl>
    <w:p w14:paraId="26AC14B1" w14:textId="77777777" w:rsidR="00525B61" w:rsidRDefault="00525B61" w:rsidP="00525B61">
      <w:pPr>
        <w:spacing w:after="160"/>
      </w:pPr>
    </w:p>
    <w:p w14:paraId="32A2906F" w14:textId="77777777" w:rsidR="00525B61" w:rsidRDefault="00525B61" w:rsidP="00525B61">
      <w:pPr>
        <w:spacing w:after="160"/>
      </w:pPr>
      <w:r>
        <w:t xml:space="preserve">OM set at: </w:t>
      </w:r>
      <w:r>
        <w:rPr>
          <w:i/>
          <w:iCs/>
          <w:color w:val="7A4E00"/>
          <w:shd w:val="solid" w:color="FFEB9C" w:fill="FFEB9C"/>
        </w:rPr>
        <w:t>[₹ ___ crores]</w:t>
      </w:r>
    </w:p>
    <w:p w14:paraId="218BCCC4" w14:textId="77777777" w:rsidR="00525B61" w:rsidRDefault="00525B61" w:rsidP="00525B61">
      <w:pPr>
        <w:spacing w:after="160"/>
      </w:pPr>
      <w:r>
        <w:t xml:space="preserve">Performance Materiality (PM): </w:t>
      </w:r>
      <w:r>
        <w:rPr>
          <w:i/>
          <w:iCs/>
          <w:color w:val="7A4E00"/>
          <w:shd w:val="solid" w:color="FFEB9C" w:fill="FFEB9C"/>
        </w:rPr>
        <w:t>[₹ ___ crores]</w:t>
      </w:r>
      <w:r>
        <w:t xml:space="preserve"> (</w:t>
      </w:r>
      <w:r>
        <w:rPr>
          <w:i/>
          <w:iCs/>
          <w:color w:val="7A4E00"/>
          <w:shd w:val="solid" w:color="FFEB9C" w:fill="FFEB9C"/>
        </w:rPr>
        <w:t>[50%]</w:t>
      </w:r>
      <w:r>
        <w:t xml:space="preserve"> of OM)</w:t>
      </w:r>
    </w:p>
    <w:p w14:paraId="0B3B37E6" w14:textId="77777777" w:rsidR="00525B61" w:rsidRDefault="00525B61" w:rsidP="00525B61">
      <w:pPr>
        <w:spacing w:after="160"/>
      </w:pPr>
      <w:r>
        <w:t xml:space="preserve">CTT: </w:t>
      </w:r>
      <w:r>
        <w:rPr>
          <w:i/>
          <w:iCs/>
          <w:color w:val="7A4E00"/>
          <w:shd w:val="solid" w:color="FFEB9C" w:fill="FFEB9C"/>
        </w:rPr>
        <w:t>[₹ ___ crores]</w:t>
      </w:r>
    </w:p>
    <w:p w14:paraId="79DC2AF9" w14:textId="77777777" w:rsidR="00525B61" w:rsidRDefault="00525B61" w:rsidP="00525B61">
      <w:pPr>
        <w:spacing w:after="160"/>
      </w:pPr>
      <w:r>
        <w:t>Component-level materiality will be communicated to Other Auditors individually.</w:t>
      </w:r>
    </w:p>
    <w:p w14:paraId="0E698A0C" w14:textId="77777777" w:rsidR="00525B61" w:rsidRDefault="00525B61" w:rsidP="00525B61">
      <w:pPr>
        <w:spacing w:after="160"/>
      </w:pPr>
      <w:r>
        <w:t>Materiality will be reviewed prior to evaluating uncorrected misstatements per SA 450 para 10.</w:t>
      </w:r>
    </w:p>
    <w:p w14:paraId="675C75BF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A6"/>
    <w:rsid w:val="001D5AA6"/>
    <w:rsid w:val="004C783D"/>
    <w:rsid w:val="00500C9D"/>
    <w:rsid w:val="00525B61"/>
    <w:rsid w:val="006132D5"/>
    <w:rsid w:val="0070421F"/>
    <w:rsid w:val="00862972"/>
    <w:rsid w:val="00BB7475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2E70"/>
  <w15:chartTrackingRefBased/>
  <w15:docId w15:val="{B023B0A0-C208-4971-B4B1-A4F7C5F0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B61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A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A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A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A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A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A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A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A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A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A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A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A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5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2026-02-14T05:51:00Z</dcterms:created>
  <dcterms:modified xsi:type="dcterms:W3CDTF">2026-02-14T08:47:00Z</dcterms:modified>
</cp:coreProperties>
</file>